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10AE6DF7">
      <w:pPr>
        <w:widowControl/>
        <w:jc w:val="center"/>
        <w:rPr>
          <w:sz w:val="32"/>
          <w:szCs w:val="32"/>
          <w:highlight w:val="none"/>
        </w:rPr>
      </w:pPr>
    </w:p>
    <w:p w14:paraId="3E466969">
      <w:pPr>
        <w:widowControl/>
        <w:jc w:val="both"/>
        <w:rPr>
          <w:sz w:val="84"/>
          <w:szCs w:val="84"/>
          <w:highlight w:val="none"/>
        </w:rPr>
      </w:pPr>
    </w:p>
    <w:p w14:paraId="14E47F14">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lang w:val="en-US" w:eastAsia="zh-CN"/>
        </w:rPr>
        <w:t>202</w:t>
      </w:r>
      <w:bookmarkStart w:id="151" w:name="_GoBack"/>
      <w:bookmarkEnd w:id="151"/>
      <w:r>
        <w:rPr>
          <w:rFonts w:hint="eastAsia" w:ascii="方正小标宋简体" w:eastAsia="方正小标宋简体"/>
          <w:b/>
          <w:bCs/>
          <w:sz w:val="84"/>
          <w:szCs w:val="84"/>
          <w:highlight w:val="none"/>
          <w:lang w:val="en-US" w:eastAsia="zh-CN"/>
        </w:rPr>
        <w:t>4</w:t>
      </w:r>
      <w:r>
        <w:rPr>
          <w:rFonts w:hint="eastAsia" w:ascii="方正小标宋简体" w:eastAsia="方正小标宋简体"/>
          <w:b/>
          <w:bCs/>
          <w:sz w:val="84"/>
          <w:szCs w:val="84"/>
          <w:highlight w:val="none"/>
        </w:rPr>
        <w:t>年度</w:t>
      </w:r>
    </w:p>
    <w:p w14:paraId="2612820C">
      <w:pPr>
        <w:widowControl/>
        <w:jc w:val="center"/>
        <w:rPr>
          <w:rFonts w:hint="eastAsia" w:ascii="方正小标宋简体" w:eastAsia="方正小标宋简体"/>
          <w:b/>
          <w:bCs/>
          <w:sz w:val="84"/>
          <w:szCs w:val="84"/>
          <w:highlight w:val="none"/>
        </w:rPr>
      </w:pPr>
      <w:r>
        <w:rPr>
          <w:rFonts w:hint="eastAsia" w:ascii="方正小标宋简体" w:eastAsia="方正小标宋简体"/>
          <w:b/>
          <w:bCs/>
          <w:sz w:val="84"/>
          <w:szCs w:val="84"/>
          <w:highlight w:val="none"/>
        </w:rPr>
        <w:t>莆田市木兰溪干部教育培训中心</w:t>
      </w:r>
    </w:p>
    <w:p w14:paraId="595C2D75">
      <w:pPr>
        <w:widowControl/>
        <w:jc w:val="center"/>
        <w:rPr>
          <w:rFonts w:hint="eastAsia" w:ascii="方正小标宋简体" w:eastAsia="方正小标宋简体"/>
          <w:b/>
          <w:bCs/>
          <w:sz w:val="84"/>
          <w:szCs w:val="84"/>
          <w:highlight w:val="none"/>
          <w:lang w:val="en-US" w:eastAsia="zh-CN"/>
        </w:rPr>
        <w:sectPr>
          <w:footerReference r:id="rId3" w:type="default"/>
          <w:pgSz w:w="11906" w:h="16838"/>
          <w:pgMar w:top="1440" w:right="1083" w:bottom="1440" w:left="1083" w:header="0" w:footer="720" w:gutter="0"/>
          <w:pgBorders>
            <w:top w:val="none" w:sz="0" w:space="0"/>
            <w:left w:val="none" w:sz="0" w:space="0"/>
            <w:bottom w:val="none" w:sz="0" w:space="0"/>
            <w:right w:val="none" w:sz="0" w:space="0"/>
          </w:pgBorders>
          <w:pgNumType w:fmt="decimal"/>
          <w:cols w:space="0" w:num="1"/>
          <w:titlePg/>
          <w:rtlGutter w:val="0"/>
          <w:docGrid w:type="lines" w:linePitch="317" w:charSpace="0"/>
        </w:sectPr>
      </w:pPr>
      <w:r>
        <w:rPr>
          <w:rFonts w:hint="eastAsia" w:ascii="方正小标宋简体" w:eastAsia="方正小标宋简体"/>
          <w:b/>
          <w:bCs/>
          <w:sz w:val="84"/>
          <w:szCs w:val="84"/>
          <w:highlight w:val="none"/>
          <w:lang w:val="en-US" w:eastAsia="zh-CN"/>
        </w:rPr>
        <w:t>单位</w:t>
      </w:r>
      <w:r>
        <w:rPr>
          <w:rFonts w:hint="eastAsia" w:ascii="方正小标宋简体" w:eastAsia="方正小标宋简体"/>
          <w:b/>
          <w:bCs/>
          <w:sz w:val="84"/>
          <w:szCs w:val="84"/>
          <w:highlight w:val="none"/>
        </w:rPr>
        <w:t>决算</w:t>
      </w:r>
    </w:p>
    <w:sdt>
      <w:sdtPr>
        <w:rPr>
          <w:rFonts w:hint="eastAsia" w:ascii="仿宋" w:hAnsi="仿宋" w:eastAsia="仿宋" w:cs="仿宋"/>
          <w:b/>
          <w:bCs/>
          <w:kern w:val="0"/>
          <w:sz w:val="32"/>
          <w:szCs w:val="32"/>
          <w:lang w:val="en-US" w:eastAsia="zh-CN"/>
        </w:rPr>
        <w:id w:val="147456983"/>
        <w15:color w:val="DBDBDB"/>
        <w:docPartObj>
          <w:docPartGallery w:val="Table of Contents"/>
          <w:docPartUnique/>
        </w:docPartObj>
      </w:sdtPr>
      <w:sdtEndPr>
        <w:rPr>
          <w:rFonts w:hint="eastAsia" w:ascii="宋体" w:hAnsi="宋体" w:eastAsia="宋体" w:cs="Times New Roman"/>
          <w:b/>
          <w:bCs/>
          <w:kern w:val="2"/>
          <w:sz w:val="32"/>
          <w:szCs w:val="32"/>
          <w:lang w:val="en-US" w:eastAsia="zh-CN" w:bidi="ar-SA"/>
        </w:rPr>
      </w:sdtEndPr>
      <w:sdtContent>
        <w:p w14:paraId="54EB9CAB">
          <w:pPr>
            <w:widowControl/>
            <w:spacing w:before="0" w:beforeLines="0" w:after="0" w:afterLines="0" w:line="240" w:lineRule="auto"/>
            <w:ind w:left="0" w:leftChars="0" w:right="0" w:rightChars="0" w:firstLine="0" w:firstLineChars="0"/>
            <w:jc w:val="center"/>
            <w:rPr>
              <w:rFonts w:hint="eastAsia" w:ascii="仿宋" w:hAnsi="仿宋" w:eastAsia="仿宋" w:cs="仿宋"/>
              <w:b/>
              <w:bCs/>
              <w:kern w:val="0"/>
              <w:sz w:val="32"/>
              <w:szCs w:val="32"/>
            </w:rPr>
          </w:pPr>
          <w:r>
            <w:rPr>
              <w:rFonts w:hint="eastAsia" w:ascii="仿宋" w:hAnsi="仿宋" w:eastAsia="仿宋" w:cs="仿宋"/>
              <w:b/>
              <w:bCs/>
              <w:kern w:val="0"/>
              <w:sz w:val="32"/>
              <w:szCs w:val="32"/>
            </w:rPr>
            <w:t>目</w:t>
          </w:r>
          <w:r>
            <w:rPr>
              <w:rFonts w:hint="eastAsia" w:ascii="仿宋" w:hAnsi="仿宋" w:eastAsia="仿宋" w:cs="仿宋"/>
              <w:b/>
              <w:bCs/>
              <w:kern w:val="0"/>
              <w:sz w:val="32"/>
              <w:szCs w:val="32"/>
              <w:lang w:val="en-US" w:eastAsia="zh-CN"/>
            </w:rPr>
            <w:t xml:space="preserve"> </w:t>
          </w:r>
          <w:r>
            <w:rPr>
              <w:rFonts w:hint="eastAsia" w:ascii="仿宋" w:hAnsi="仿宋" w:eastAsia="仿宋" w:cs="仿宋"/>
              <w:b/>
              <w:bCs/>
              <w:kern w:val="0"/>
              <w:sz w:val="32"/>
              <w:szCs w:val="32"/>
            </w:rPr>
            <w:t>录</w:t>
          </w:r>
        </w:p>
        <w:p w14:paraId="47E05AEA">
          <w:pPr>
            <w:pStyle w:val="17"/>
            <w:tabs>
              <w:tab w:val="right" w:leader="dot" w:pos="9730"/>
            </w:tabs>
            <w:rPr>
              <w:rFonts w:asciiTheme="minorHAnsi" w:hAnsiTheme="minorHAnsi"/>
              <w:sz w:val="22"/>
            </w:rPr>
          </w:pPr>
          <w:r>
            <w:rPr>
              <w:rFonts w:hint="eastAsia" w:ascii="仿宋" w:hAnsi="仿宋" w:eastAsia="仿宋" w:cs="仿宋"/>
              <w:b w:val="0"/>
              <w:bCs/>
              <w:kern w:val="2"/>
              <w:sz w:val="32"/>
              <w:szCs w:val="32"/>
              <w:lang w:val="en-US" w:eastAsia="zh-CN" w:bidi="ar-SA"/>
            </w:rPr>
            <w:fldChar w:fldCharType="begin"/>
          </w:r>
          <w:r>
            <w:rPr>
              <w:rFonts w:hint="eastAsia" w:ascii="仿宋" w:hAnsi="仿宋" w:eastAsia="仿宋" w:cs="仿宋"/>
              <w:b w:val="0"/>
              <w:bCs/>
              <w:kern w:val="2"/>
              <w:sz w:val="32"/>
              <w:szCs w:val="32"/>
              <w:lang w:val="en-US" w:eastAsia="zh-CN" w:bidi="ar-SA"/>
            </w:rPr>
            <w:instrText xml:space="preserve">TOC \o "1-3" \h \u </w:instrText>
          </w:r>
          <w:r>
            <w:rPr>
              <w:rFonts w:hint="eastAsia" w:ascii="仿宋" w:hAnsi="仿宋" w:eastAsia="仿宋" w:cs="仿宋"/>
              <w:b w:val="0"/>
              <w:bCs/>
              <w:kern w:val="2"/>
              <w:sz w:val="32"/>
              <w:szCs w:val="32"/>
              <w:lang w:val="en-US" w:eastAsia="zh-CN" w:bidi="ar-SA"/>
            </w:rPr>
            <w:fldChar w:fldCharType="separate"/>
          </w:r>
          <w:r>
            <w:fldChar w:fldCharType="begin"/>
          </w:r>
          <w:r>
            <w:instrText xml:space="preserve"> HYPERLINK \l "_Toc256000125" </w:instrText>
          </w:r>
          <w:r>
            <w:fldChar w:fldCharType="separate"/>
          </w:r>
          <w:r>
            <w:rPr>
              <w:rStyle w:val="22"/>
              <w:rFonts w:ascii="仿宋" w:hAnsi="仿宋" w:eastAsia="仿宋" w:cs="仿宋"/>
            </w:rPr>
            <w:t>第一部分</w:t>
          </w:r>
          <w:r>
            <w:rPr>
              <w:rStyle w:val="22"/>
              <w:rFonts w:ascii="黑体" w:hAnsi="黑体" w:eastAsia="黑体" w:cs="黑体"/>
            </w:rPr>
            <w:t xml:space="preserve"> </w:t>
          </w:r>
          <w:r>
            <w:rPr>
              <w:rStyle w:val="22"/>
              <w:rFonts w:ascii="仿宋" w:hAnsi="仿宋" w:eastAsia="仿宋" w:cs="仿宋"/>
            </w:rPr>
            <w:t>单位概况</w:t>
          </w:r>
          <w:r>
            <w:tab/>
          </w:r>
          <w:r>
            <w:fldChar w:fldCharType="begin"/>
          </w:r>
          <w:r>
            <w:instrText xml:space="preserve"> PAGEREF _Toc256000125 \h </w:instrText>
          </w:r>
          <w:r>
            <w:fldChar w:fldCharType="separate"/>
          </w:r>
          <w:r>
            <w:t>1</w:t>
          </w:r>
          <w:r>
            <w:fldChar w:fldCharType="end"/>
          </w:r>
          <w:r>
            <w:fldChar w:fldCharType="end"/>
          </w:r>
        </w:p>
        <w:p w14:paraId="2CB591B9">
          <w:pPr>
            <w:pStyle w:val="10"/>
            <w:tabs>
              <w:tab w:val="right" w:leader="dot" w:pos="9730"/>
            </w:tabs>
            <w:rPr>
              <w:rFonts w:asciiTheme="minorHAnsi" w:hAnsiTheme="minorHAnsi"/>
              <w:sz w:val="22"/>
            </w:rPr>
          </w:pPr>
          <w:r>
            <w:fldChar w:fldCharType="begin"/>
          </w:r>
          <w:r>
            <w:instrText xml:space="preserve"> HYPERLINK \l "_Toc256000126" </w:instrText>
          </w:r>
          <w:r>
            <w:fldChar w:fldCharType="separate"/>
          </w:r>
          <w:r>
            <w:rPr>
              <w:rStyle w:val="22"/>
              <w:rFonts w:ascii="仿宋" w:hAnsi="仿宋" w:eastAsia="仿宋" w:cs="仿宋"/>
            </w:rPr>
            <w:t>一、单位主要职责</w:t>
          </w:r>
          <w:r>
            <w:tab/>
          </w:r>
          <w:r>
            <w:fldChar w:fldCharType="begin"/>
          </w:r>
          <w:r>
            <w:instrText xml:space="preserve"> PAGEREF _Toc256000126 \h </w:instrText>
          </w:r>
          <w:r>
            <w:fldChar w:fldCharType="separate"/>
          </w:r>
          <w:r>
            <w:t>2</w:t>
          </w:r>
          <w:r>
            <w:fldChar w:fldCharType="end"/>
          </w:r>
          <w:r>
            <w:fldChar w:fldCharType="end"/>
          </w:r>
        </w:p>
        <w:p w14:paraId="1EBAD120">
          <w:pPr>
            <w:pStyle w:val="10"/>
            <w:tabs>
              <w:tab w:val="right" w:leader="dot" w:pos="9730"/>
            </w:tabs>
            <w:rPr>
              <w:rFonts w:asciiTheme="minorHAnsi" w:hAnsiTheme="minorHAnsi"/>
              <w:sz w:val="22"/>
            </w:rPr>
          </w:pPr>
          <w:r>
            <w:fldChar w:fldCharType="begin"/>
          </w:r>
          <w:r>
            <w:instrText xml:space="preserve"> HYPERLINK \l "_Toc256000127" </w:instrText>
          </w:r>
          <w:r>
            <w:fldChar w:fldCharType="separate"/>
          </w:r>
          <w:r>
            <w:rPr>
              <w:rStyle w:val="22"/>
              <w:rFonts w:ascii="仿宋" w:hAnsi="仿宋" w:eastAsia="仿宋" w:cs="仿宋"/>
            </w:rPr>
            <w:t>二、单位基本情况</w:t>
          </w:r>
          <w:r>
            <w:tab/>
          </w:r>
          <w:r>
            <w:fldChar w:fldCharType="begin"/>
          </w:r>
          <w:r>
            <w:instrText xml:space="preserve"> PAGEREF _Toc256000127 \h </w:instrText>
          </w:r>
          <w:r>
            <w:fldChar w:fldCharType="separate"/>
          </w:r>
          <w:r>
            <w:t>2</w:t>
          </w:r>
          <w:r>
            <w:fldChar w:fldCharType="end"/>
          </w:r>
          <w:r>
            <w:fldChar w:fldCharType="end"/>
          </w:r>
        </w:p>
        <w:p w14:paraId="707E126A">
          <w:pPr>
            <w:pStyle w:val="10"/>
            <w:tabs>
              <w:tab w:val="right" w:leader="dot" w:pos="9730"/>
            </w:tabs>
            <w:rPr>
              <w:rFonts w:asciiTheme="minorHAnsi" w:hAnsiTheme="minorHAnsi"/>
              <w:sz w:val="22"/>
            </w:rPr>
          </w:pPr>
          <w:r>
            <w:fldChar w:fldCharType="begin"/>
          </w:r>
          <w:r>
            <w:instrText xml:space="preserve"> HYPERLINK \l "_Toc256000128" </w:instrText>
          </w:r>
          <w:r>
            <w:fldChar w:fldCharType="separate"/>
          </w:r>
          <w:r>
            <w:rPr>
              <w:rStyle w:val="22"/>
              <w:rFonts w:ascii="仿宋" w:hAnsi="仿宋" w:eastAsia="仿宋" w:cs="仿宋"/>
            </w:rPr>
            <w:t>三、单位主要工作总结</w:t>
          </w:r>
          <w:r>
            <w:tab/>
          </w:r>
          <w:r>
            <w:fldChar w:fldCharType="begin"/>
          </w:r>
          <w:r>
            <w:instrText xml:space="preserve"> PAGEREF _Toc256000128 \h </w:instrText>
          </w:r>
          <w:r>
            <w:fldChar w:fldCharType="separate"/>
          </w:r>
          <w:r>
            <w:t>2</w:t>
          </w:r>
          <w:r>
            <w:fldChar w:fldCharType="end"/>
          </w:r>
          <w:r>
            <w:fldChar w:fldCharType="end"/>
          </w:r>
        </w:p>
        <w:p w14:paraId="296F7FE8">
          <w:pPr>
            <w:pStyle w:val="17"/>
            <w:tabs>
              <w:tab w:val="right" w:leader="dot" w:pos="9730"/>
            </w:tabs>
            <w:rPr>
              <w:rFonts w:asciiTheme="minorHAnsi" w:hAnsiTheme="minorHAnsi"/>
              <w:sz w:val="22"/>
            </w:rPr>
          </w:pPr>
          <w:r>
            <w:fldChar w:fldCharType="begin"/>
          </w:r>
          <w:r>
            <w:instrText xml:space="preserve"> HYPERLINK \l "_Toc256000129" </w:instrText>
          </w:r>
          <w:r>
            <w:fldChar w:fldCharType="separate"/>
          </w:r>
          <w:r>
            <w:rPr>
              <w:rStyle w:val="22"/>
              <w:rFonts w:ascii="仿宋" w:hAnsi="仿宋" w:eastAsia="仿宋" w:cs="仿宋"/>
            </w:rPr>
            <w:t>第二部分</w:t>
          </w:r>
          <w:r>
            <w:rPr>
              <w:rStyle w:val="22"/>
              <w:rFonts w:ascii="黑体" w:hAnsi="黑体" w:eastAsia="黑体" w:cs="黑体"/>
            </w:rPr>
            <w:t xml:space="preserve"> </w:t>
          </w:r>
          <w:r>
            <w:rPr>
              <w:rStyle w:val="22"/>
              <w:rFonts w:ascii="仿宋" w:hAnsi="仿宋" w:eastAsia="仿宋" w:cs="仿宋"/>
            </w:rPr>
            <w:t>2024年度单位决算表</w:t>
          </w:r>
          <w:r>
            <w:tab/>
          </w:r>
          <w:r>
            <w:fldChar w:fldCharType="begin"/>
          </w:r>
          <w:r>
            <w:instrText xml:space="preserve"> PAGEREF _Toc256000129 \h </w:instrText>
          </w:r>
          <w:r>
            <w:fldChar w:fldCharType="separate"/>
          </w:r>
          <w:r>
            <w:t>4</w:t>
          </w:r>
          <w:r>
            <w:fldChar w:fldCharType="end"/>
          </w:r>
          <w:r>
            <w:fldChar w:fldCharType="end"/>
          </w:r>
        </w:p>
        <w:p w14:paraId="469CA382">
          <w:pPr>
            <w:pStyle w:val="10"/>
            <w:tabs>
              <w:tab w:val="right" w:leader="dot" w:pos="9730"/>
            </w:tabs>
            <w:rPr>
              <w:rFonts w:asciiTheme="minorHAnsi" w:hAnsiTheme="minorHAnsi"/>
              <w:sz w:val="22"/>
            </w:rPr>
          </w:pPr>
          <w:r>
            <w:fldChar w:fldCharType="begin"/>
          </w:r>
          <w:r>
            <w:instrText xml:space="preserve"> HYPERLINK \l "_Toc256000130" </w:instrText>
          </w:r>
          <w:r>
            <w:fldChar w:fldCharType="separate"/>
          </w:r>
          <w:r>
            <w:rPr>
              <w:rStyle w:val="22"/>
              <w:rFonts w:ascii="仿宋" w:hAnsi="仿宋" w:eastAsia="仿宋" w:cs="仿宋"/>
            </w:rPr>
            <w:t>一、收入支出决算总表</w:t>
          </w:r>
          <w:r>
            <w:tab/>
          </w:r>
          <w:r>
            <w:fldChar w:fldCharType="begin"/>
          </w:r>
          <w:r>
            <w:instrText xml:space="preserve"> PAGEREF _Toc256000130 \h </w:instrText>
          </w:r>
          <w:r>
            <w:fldChar w:fldCharType="separate"/>
          </w:r>
          <w:r>
            <w:t>5</w:t>
          </w:r>
          <w:r>
            <w:fldChar w:fldCharType="end"/>
          </w:r>
          <w:r>
            <w:fldChar w:fldCharType="end"/>
          </w:r>
        </w:p>
        <w:p w14:paraId="08FE704B">
          <w:pPr>
            <w:pStyle w:val="10"/>
            <w:tabs>
              <w:tab w:val="right" w:leader="dot" w:pos="9730"/>
            </w:tabs>
            <w:rPr>
              <w:rFonts w:asciiTheme="minorHAnsi" w:hAnsiTheme="minorHAnsi"/>
              <w:sz w:val="22"/>
            </w:rPr>
          </w:pPr>
          <w:r>
            <w:fldChar w:fldCharType="begin"/>
          </w:r>
          <w:r>
            <w:instrText xml:space="preserve"> HYPERLINK \l "_Toc256000131" </w:instrText>
          </w:r>
          <w:r>
            <w:fldChar w:fldCharType="separate"/>
          </w:r>
          <w:r>
            <w:rPr>
              <w:rStyle w:val="22"/>
              <w:rFonts w:ascii="仿宋" w:hAnsi="仿宋" w:eastAsia="仿宋" w:cs="仿宋"/>
            </w:rPr>
            <w:t>二、收入决算表</w:t>
          </w:r>
          <w:r>
            <w:tab/>
          </w:r>
          <w:r>
            <w:fldChar w:fldCharType="begin"/>
          </w:r>
          <w:r>
            <w:instrText xml:space="preserve"> PAGEREF _Toc256000131 \h </w:instrText>
          </w:r>
          <w:r>
            <w:fldChar w:fldCharType="separate"/>
          </w:r>
          <w:r>
            <w:t>7</w:t>
          </w:r>
          <w:r>
            <w:fldChar w:fldCharType="end"/>
          </w:r>
          <w:r>
            <w:fldChar w:fldCharType="end"/>
          </w:r>
        </w:p>
        <w:p w14:paraId="7EF016E2">
          <w:pPr>
            <w:pStyle w:val="10"/>
            <w:tabs>
              <w:tab w:val="right" w:leader="dot" w:pos="9730"/>
            </w:tabs>
            <w:rPr>
              <w:rFonts w:asciiTheme="minorHAnsi" w:hAnsiTheme="minorHAnsi"/>
              <w:sz w:val="22"/>
            </w:rPr>
          </w:pPr>
          <w:r>
            <w:fldChar w:fldCharType="begin"/>
          </w:r>
          <w:r>
            <w:instrText xml:space="preserve"> HYPERLINK \l "_Toc256000132" </w:instrText>
          </w:r>
          <w:r>
            <w:fldChar w:fldCharType="separate"/>
          </w:r>
          <w:r>
            <w:rPr>
              <w:rStyle w:val="22"/>
              <w:rFonts w:ascii="仿宋" w:hAnsi="仿宋" w:eastAsia="仿宋" w:cs="仿宋"/>
            </w:rPr>
            <w:t>三、支出决算表</w:t>
          </w:r>
          <w:r>
            <w:tab/>
          </w:r>
          <w:r>
            <w:fldChar w:fldCharType="begin"/>
          </w:r>
          <w:r>
            <w:instrText xml:space="preserve"> PAGEREF _Toc256000132 \h </w:instrText>
          </w:r>
          <w:r>
            <w:fldChar w:fldCharType="separate"/>
          </w:r>
          <w:r>
            <w:t>9</w:t>
          </w:r>
          <w:r>
            <w:fldChar w:fldCharType="end"/>
          </w:r>
          <w:r>
            <w:fldChar w:fldCharType="end"/>
          </w:r>
        </w:p>
        <w:p w14:paraId="7EBA93BC">
          <w:pPr>
            <w:pStyle w:val="10"/>
            <w:tabs>
              <w:tab w:val="right" w:leader="dot" w:pos="9730"/>
            </w:tabs>
            <w:rPr>
              <w:rFonts w:asciiTheme="minorHAnsi" w:hAnsiTheme="minorHAnsi"/>
              <w:sz w:val="22"/>
            </w:rPr>
          </w:pPr>
          <w:r>
            <w:fldChar w:fldCharType="begin"/>
          </w:r>
          <w:r>
            <w:instrText xml:space="preserve"> HYPERLINK \l "_Toc256000133" </w:instrText>
          </w:r>
          <w:r>
            <w:fldChar w:fldCharType="separate"/>
          </w:r>
          <w:r>
            <w:rPr>
              <w:rStyle w:val="22"/>
              <w:rFonts w:ascii="仿宋" w:hAnsi="仿宋" w:eastAsia="仿宋" w:cs="仿宋"/>
            </w:rPr>
            <w:t>四、财政拨款收入支出决算总表</w:t>
          </w:r>
          <w:r>
            <w:tab/>
          </w:r>
          <w:r>
            <w:fldChar w:fldCharType="begin"/>
          </w:r>
          <w:r>
            <w:instrText xml:space="preserve"> PAGEREF _Toc256000133 \h </w:instrText>
          </w:r>
          <w:r>
            <w:fldChar w:fldCharType="separate"/>
          </w:r>
          <w:r>
            <w:t>11</w:t>
          </w:r>
          <w:r>
            <w:fldChar w:fldCharType="end"/>
          </w:r>
          <w:r>
            <w:fldChar w:fldCharType="end"/>
          </w:r>
        </w:p>
        <w:p w14:paraId="5F264F77">
          <w:pPr>
            <w:pStyle w:val="10"/>
            <w:tabs>
              <w:tab w:val="right" w:leader="dot" w:pos="9730"/>
            </w:tabs>
            <w:rPr>
              <w:rFonts w:asciiTheme="minorHAnsi" w:hAnsiTheme="minorHAnsi"/>
              <w:sz w:val="22"/>
            </w:rPr>
          </w:pPr>
          <w:r>
            <w:fldChar w:fldCharType="begin"/>
          </w:r>
          <w:r>
            <w:instrText xml:space="preserve"> HYPERLINK \l "_Toc256000134" </w:instrText>
          </w:r>
          <w:r>
            <w:fldChar w:fldCharType="separate"/>
          </w:r>
          <w:r>
            <w:rPr>
              <w:rStyle w:val="22"/>
              <w:rFonts w:ascii="仿宋" w:hAnsi="仿宋" w:eastAsia="仿宋" w:cs="仿宋"/>
            </w:rPr>
            <w:t>五、一般公共预算财政拨款支出决算表</w:t>
          </w:r>
          <w:r>
            <w:tab/>
          </w:r>
          <w:r>
            <w:fldChar w:fldCharType="begin"/>
          </w:r>
          <w:r>
            <w:instrText xml:space="preserve"> PAGEREF _Toc256000134 \h </w:instrText>
          </w:r>
          <w:r>
            <w:fldChar w:fldCharType="separate"/>
          </w:r>
          <w:r>
            <w:t>14</w:t>
          </w:r>
          <w:r>
            <w:fldChar w:fldCharType="end"/>
          </w:r>
          <w:r>
            <w:fldChar w:fldCharType="end"/>
          </w:r>
        </w:p>
        <w:p w14:paraId="36E5F5B3">
          <w:pPr>
            <w:pStyle w:val="10"/>
            <w:tabs>
              <w:tab w:val="right" w:leader="dot" w:pos="9730"/>
            </w:tabs>
            <w:rPr>
              <w:rFonts w:asciiTheme="minorHAnsi" w:hAnsiTheme="minorHAnsi"/>
              <w:sz w:val="22"/>
            </w:rPr>
          </w:pPr>
          <w:r>
            <w:fldChar w:fldCharType="begin"/>
          </w:r>
          <w:r>
            <w:instrText xml:space="preserve"> HYPERLINK \l "_Toc256000135" </w:instrText>
          </w:r>
          <w:r>
            <w:fldChar w:fldCharType="separate"/>
          </w:r>
          <w:r>
            <w:rPr>
              <w:rStyle w:val="22"/>
              <w:rFonts w:ascii="仿宋" w:hAnsi="仿宋" w:eastAsia="仿宋" w:cs="仿宋"/>
            </w:rPr>
            <w:t>六、一般公共预算财政拨款基本支出决算表</w:t>
          </w:r>
          <w:r>
            <w:tab/>
          </w:r>
          <w:r>
            <w:fldChar w:fldCharType="begin"/>
          </w:r>
          <w:r>
            <w:instrText xml:space="preserve"> PAGEREF _Toc256000135 \h </w:instrText>
          </w:r>
          <w:r>
            <w:fldChar w:fldCharType="separate"/>
          </w:r>
          <w:r>
            <w:t>15</w:t>
          </w:r>
          <w:r>
            <w:fldChar w:fldCharType="end"/>
          </w:r>
          <w:r>
            <w:fldChar w:fldCharType="end"/>
          </w:r>
        </w:p>
        <w:p w14:paraId="09AE55FE">
          <w:pPr>
            <w:pStyle w:val="10"/>
            <w:tabs>
              <w:tab w:val="right" w:leader="dot" w:pos="9730"/>
            </w:tabs>
            <w:rPr>
              <w:rFonts w:asciiTheme="minorHAnsi" w:hAnsiTheme="minorHAnsi"/>
              <w:sz w:val="22"/>
            </w:rPr>
          </w:pPr>
          <w:r>
            <w:fldChar w:fldCharType="begin"/>
          </w:r>
          <w:r>
            <w:instrText xml:space="preserve"> HYPERLINK \l "_Toc256000136" </w:instrText>
          </w:r>
          <w:r>
            <w:fldChar w:fldCharType="separate"/>
          </w:r>
          <w:r>
            <w:rPr>
              <w:rStyle w:val="22"/>
              <w:rFonts w:ascii="仿宋" w:hAnsi="仿宋" w:eastAsia="仿宋" w:cs="仿宋"/>
            </w:rPr>
            <w:t>七、一般公共预算财政拨款“三公”经费支出决算表</w:t>
          </w:r>
          <w:r>
            <w:tab/>
          </w:r>
          <w:r>
            <w:fldChar w:fldCharType="begin"/>
          </w:r>
          <w:r>
            <w:instrText xml:space="preserve"> PAGEREF _Toc256000136 \h </w:instrText>
          </w:r>
          <w:r>
            <w:fldChar w:fldCharType="separate"/>
          </w:r>
          <w:r>
            <w:t>18</w:t>
          </w:r>
          <w:r>
            <w:fldChar w:fldCharType="end"/>
          </w:r>
          <w:r>
            <w:fldChar w:fldCharType="end"/>
          </w:r>
        </w:p>
        <w:p w14:paraId="55E14F85">
          <w:pPr>
            <w:pStyle w:val="10"/>
            <w:tabs>
              <w:tab w:val="right" w:leader="dot" w:pos="9730"/>
            </w:tabs>
            <w:rPr>
              <w:rFonts w:asciiTheme="minorHAnsi" w:hAnsiTheme="minorHAnsi"/>
              <w:sz w:val="22"/>
            </w:rPr>
          </w:pPr>
          <w:r>
            <w:fldChar w:fldCharType="begin"/>
          </w:r>
          <w:r>
            <w:instrText xml:space="preserve"> HYPERLINK \l "_Toc256000137" </w:instrText>
          </w:r>
          <w:r>
            <w:fldChar w:fldCharType="separate"/>
          </w:r>
          <w:r>
            <w:rPr>
              <w:rStyle w:val="22"/>
              <w:rFonts w:ascii="仿宋" w:hAnsi="仿宋" w:eastAsia="仿宋" w:cs="仿宋"/>
            </w:rPr>
            <w:t>八、政府性基金预算财政拨款收入支出决算表</w:t>
          </w:r>
          <w:r>
            <w:tab/>
          </w:r>
          <w:r>
            <w:fldChar w:fldCharType="begin"/>
          </w:r>
          <w:r>
            <w:instrText xml:space="preserve"> PAGEREF _Toc256000137 \h </w:instrText>
          </w:r>
          <w:r>
            <w:fldChar w:fldCharType="separate"/>
          </w:r>
          <w:r>
            <w:t>19</w:t>
          </w:r>
          <w:r>
            <w:fldChar w:fldCharType="end"/>
          </w:r>
          <w:r>
            <w:fldChar w:fldCharType="end"/>
          </w:r>
        </w:p>
        <w:p w14:paraId="01D9C342">
          <w:pPr>
            <w:pStyle w:val="17"/>
            <w:tabs>
              <w:tab w:val="right" w:leader="dot" w:pos="9730"/>
            </w:tabs>
            <w:rPr>
              <w:rFonts w:asciiTheme="minorHAnsi" w:hAnsiTheme="minorHAnsi"/>
              <w:sz w:val="22"/>
            </w:rPr>
          </w:pPr>
          <w:r>
            <w:fldChar w:fldCharType="begin"/>
          </w:r>
          <w:r>
            <w:instrText xml:space="preserve"> HYPERLINK \l "_Toc256000138" </w:instrText>
          </w:r>
          <w:r>
            <w:fldChar w:fldCharType="separate"/>
          </w:r>
          <w:r>
            <w:rPr>
              <w:rStyle w:val="22"/>
              <w:rFonts w:ascii="仿宋" w:hAnsi="仿宋" w:eastAsia="仿宋" w:cs="仿宋"/>
            </w:rPr>
            <w:t>第三部分</w:t>
          </w:r>
          <w:r>
            <w:rPr>
              <w:rStyle w:val="22"/>
              <w:rFonts w:ascii="黑体" w:hAnsi="黑体" w:eastAsia="黑体" w:cs="黑体"/>
            </w:rPr>
            <w:t xml:space="preserve"> </w:t>
          </w:r>
          <w:r>
            <w:rPr>
              <w:rStyle w:val="22"/>
              <w:rFonts w:ascii="仿宋" w:hAnsi="仿宋" w:eastAsia="仿宋" w:cs="仿宋"/>
            </w:rPr>
            <w:t>2024年度单位决算情况说明</w:t>
          </w:r>
          <w:r>
            <w:tab/>
          </w:r>
          <w:r>
            <w:fldChar w:fldCharType="begin"/>
          </w:r>
          <w:r>
            <w:instrText xml:space="preserve"> PAGEREF _Toc256000138 \h </w:instrText>
          </w:r>
          <w:r>
            <w:fldChar w:fldCharType="separate"/>
          </w:r>
          <w:r>
            <w:t>21</w:t>
          </w:r>
          <w:r>
            <w:fldChar w:fldCharType="end"/>
          </w:r>
          <w:r>
            <w:fldChar w:fldCharType="end"/>
          </w:r>
        </w:p>
        <w:p w14:paraId="19175D02">
          <w:pPr>
            <w:pStyle w:val="10"/>
            <w:tabs>
              <w:tab w:val="right" w:leader="dot" w:pos="9730"/>
            </w:tabs>
            <w:rPr>
              <w:rFonts w:asciiTheme="minorHAnsi" w:hAnsiTheme="minorHAnsi"/>
              <w:sz w:val="22"/>
            </w:rPr>
          </w:pPr>
          <w:r>
            <w:fldChar w:fldCharType="begin"/>
          </w:r>
          <w:r>
            <w:instrText xml:space="preserve"> HYPERLINK \l "_Toc256000139" </w:instrText>
          </w:r>
          <w:r>
            <w:fldChar w:fldCharType="separate"/>
          </w:r>
          <w:r>
            <w:rPr>
              <w:rStyle w:val="22"/>
              <w:rFonts w:ascii="仿宋" w:hAnsi="仿宋" w:eastAsia="仿宋" w:cs="仿宋"/>
            </w:rPr>
            <w:t>一、收入支出决算总体情况说明</w:t>
          </w:r>
          <w:r>
            <w:tab/>
          </w:r>
          <w:r>
            <w:fldChar w:fldCharType="begin"/>
          </w:r>
          <w:r>
            <w:instrText xml:space="preserve"> PAGEREF _Toc256000139 \h </w:instrText>
          </w:r>
          <w:r>
            <w:fldChar w:fldCharType="separate"/>
          </w:r>
          <w:r>
            <w:t>22</w:t>
          </w:r>
          <w:r>
            <w:fldChar w:fldCharType="end"/>
          </w:r>
          <w:r>
            <w:fldChar w:fldCharType="end"/>
          </w:r>
        </w:p>
        <w:p w14:paraId="0BA0AB89">
          <w:pPr>
            <w:pStyle w:val="10"/>
            <w:tabs>
              <w:tab w:val="right" w:leader="dot" w:pos="9730"/>
            </w:tabs>
            <w:rPr>
              <w:rFonts w:asciiTheme="minorHAnsi" w:hAnsiTheme="minorHAnsi"/>
              <w:sz w:val="22"/>
            </w:rPr>
          </w:pPr>
          <w:r>
            <w:fldChar w:fldCharType="begin"/>
          </w:r>
          <w:r>
            <w:instrText xml:space="preserve"> HYPERLINK \l "_Toc256000140" </w:instrText>
          </w:r>
          <w:r>
            <w:fldChar w:fldCharType="separate"/>
          </w:r>
          <w:r>
            <w:rPr>
              <w:rStyle w:val="22"/>
              <w:rFonts w:ascii="仿宋" w:hAnsi="仿宋" w:eastAsia="仿宋" w:cs="仿宋"/>
            </w:rPr>
            <w:t>二、财政拨款收入支出决算总体情况说明</w:t>
          </w:r>
          <w:r>
            <w:tab/>
          </w:r>
          <w:r>
            <w:fldChar w:fldCharType="begin"/>
          </w:r>
          <w:r>
            <w:instrText xml:space="preserve"> PAGEREF _Toc256000140 \h </w:instrText>
          </w:r>
          <w:r>
            <w:fldChar w:fldCharType="separate"/>
          </w:r>
          <w:r>
            <w:t>23</w:t>
          </w:r>
          <w:r>
            <w:fldChar w:fldCharType="end"/>
          </w:r>
          <w:r>
            <w:fldChar w:fldCharType="end"/>
          </w:r>
        </w:p>
        <w:p w14:paraId="7B53DFA2">
          <w:pPr>
            <w:pStyle w:val="10"/>
            <w:tabs>
              <w:tab w:val="right" w:leader="dot" w:pos="9730"/>
            </w:tabs>
            <w:rPr>
              <w:rFonts w:asciiTheme="minorHAnsi" w:hAnsiTheme="minorHAnsi"/>
              <w:sz w:val="22"/>
            </w:rPr>
          </w:pPr>
          <w:r>
            <w:fldChar w:fldCharType="begin"/>
          </w:r>
          <w:r>
            <w:instrText xml:space="preserve"> HYPERLINK \l "_Toc256000141" </w:instrText>
          </w:r>
          <w:r>
            <w:fldChar w:fldCharType="separate"/>
          </w:r>
          <w:r>
            <w:rPr>
              <w:rStyle w:val="22"/>
              <w:rFonts w:ascii="仿宋" w:hAnsi="仿宋" w:eastAsia="仿宋" w:cs="仿宋"/>
            </w:rPr>
            <w:t>三、一般公共预算财政拨款支出决算情况说明</w:t>
          </w:r>
          <w:r>
            <w:tab/>
          </w:r>
          <w:r>
            <w:fldChar w:fldCharType="begin"/>
          </w:r>
          <w:r>
            <w:instrText xml:space="preserve"> PAGEREF _Toc256000141 \h </w:instrText>
          </w:r>
          <w:r>
            <w:fldChar w:fldCharType="separate"/>
          </w:r>
          <w:r>
            <w:t>23</w:t>
          </w:r>
          <w:r>
            <w:fldChar w:fldCharType="end"/>
          </w:r>
          <w:r>
            <w:fldChar w:fldCharType="end"/>
          </w:r>
        </w:p>
        <w:p w14:paraId="40F7EFFC">
          <w:pPr>
            <w:pStyle w:val="10"/>
            <w:tabs>
              <w:tab w:val="right" w:leader="dot" w:pos="9730"/>
            </w:tabs>
            <w:rPr>
              <w:rFonts w:asciiTheme="minorHAnsi" w:hAnsiTheme="minorHAnsi"/>
              <w:sz w:val="22"/>
            </w:rPr>
          </w:pPr>
          <w:r>
            <w:fldChar w:fldCharType="begin"/>
          </w:r>
          <w:r>
            <w:instrText xml:space="preserve"> HYPERLINK \l "_Toc256000142" </w:instrText>
          </w:r>
          <w:r>
            <w:fldChar w:fldCharType="separate"/>
          </w:r>
          <w:r>
            <w:rPr>
              <w:rStyle w:val="22"/>
              <w:rFonts w:ascii="仿宋" w:hAnsi="仿宋" w:eastAsia="仿宋" w:cs="仿宋"/>
            </w:rPr>
            <w:t>四、政府性基金预算财政拨款支出决算情况说明</w:t>
          </w:r>
          <w:r>
            <w:tab/>
          </w:r>
          <w:r>
            <w:fldChar w:fldCharType="begin"/>
          </w:r>
          <w:r>
            <w:instrText xml:space="preserve"> PAGEREF _Toc256000142 \h </w:instrText>
          </w:r>
          <w:r>
            <w:fldChar w:fldCharType="separate"/>
          </w:r>
          <w:r>
            <w:t>23</w:t>
          </w:r>
          <w:r>
            <w:fldChar w:fldCharType="end"/>
          </w:r>
          <w:r>
            <w:fldChar w:fldCharType="end"/>
          </w:r>
        </w:p>
        <w:p w14:paraId="7CE5D370">
          <w:pPr>
            <w:pStyle w:val="10"/>
            <w:tabs>
              <w:tab w:val="right" w:leader="dot" w:pos="9730"/>
            </w:tabs>
            <w:rPr>
              <w:rFonts w:asciiTheme="minorHAnsi" w:hAnsiTheme="minorHAnsi"/>
              <w:sz w:val="22"/>
            </w:rPr>
          </w:pPr>
          <w:r>
            <w:fldChar w:fldCharType="begin"/>
          </w:r>
          <w:r>
            <w:instrText xml:space="preserve"> HYPERLINK \l "_Toc256000143" </w:instrText>
          </w:r>
          <w:r>
            <w:fldChar w:fldCharType="separate"/>
          </w:r>
          <w:r>
            <w:rPr>
              <w:rStyle w:val="22"/>
              <w:rFonts w:ascii="仿宋" w:hAnsi="仿宋" w:eastAsia="仿宋" w:cs="仿宋"/>
            </w:rPr>
            <w:t>五、国有资本经营预算财政拨款支出决算情况说明</w:t>
          </w:r>
          <w:r>
            <w:tab/>
          </w:r>
          <w:r>
            <w:fldChar w:fldCharType="begin"/>
          </w:r>
          <w:r>
            <w:instrText xml:space="preserve"> PAGEREF _Toc256000143 \h </w:instrText>
          </w:r>
          <w:r>
            <w:fldChar w:fldCharType="separate"/>
          </w:r>
          <w:r>
            <w:t>24</w:t>
          </w:r>
          <w:r>
            <w:fldChar w:fldCharType="end"/>
          </w:r>
          <w:r>
            <w:fldChar w:fldCharType="end"/>
          </w:r>
        </w:p>
        <w:p w14:paraId="66CC6399">
          <w:pPr>
            <w:pStyle w:val="10"/>
            <w:tabs>
              <w:tab w:val="right" w:leader="dot" w:pos="9730"/>
            </w:tabs>
            <w:rPr>
              <w:rFonts w:asciiTheme="minorHAnsi" w:hAnsiTheme="minorHAnsi"/>
              <w:sz w:val="22"/>
            </w:rPr>
          </w:pPr>
          <w:r>
            <w:fldChar w:fldCharType="begin"/>
          </w:r>
          <w:r>
            <w:instrText xml:space="preserve"> HYPERLINK \l "_Toc256000144" </w:instrText>
          </w:r>
          <w:r>
            <w:fldChar w:fldCharType="separate"/>
          </w:r>
          <w:r>
            <w:rPr>
              <w:rStyle w:val="22"/>
              <w:rFonts w:ascii="仿宋" w:hAnsi="仿宋" w:eastAsia="仿宋" w:cs="仿宋"/>
            </w:rPr>
            <w:t>六、一般公共预算财政拨款基本支出决算情况说明</w:t>
          </w:r>
          <w:r>
            <w:tab/>
          </w:r>
          <w:r>
            <w:fldChar w:fldCharType="begin"/>
          </w:r>
          <w:r>
            <w:instrText xml:space="preserve"> PAGEREF _Toc256000144 \h </w:instrText>
          </w:r>
          <w:r>
            <w:fldChar w:fldCharType="separate"/>
          </w:r>
          <w:r>
            <w:t>24</w:t>
          </w:r>
          <w:r>
            <w:fldChar w:fldCharType="end"/>
          </w:r>
          <w:r>
            <w:fldChar w:fldCharType="end"/>
          </w:r>
        </w:p>
        <w:p w14:paraId="605BCED8">
          <w:pPr>
            <w:pStyle w:val="10"/>
            <w:tabs>
              <w:tab w:val="right" w:leader="dot" w:pos="9730"/>
            </w:tabs>
            <w:rPr>
              <w:rFonts w:asciiTheme="minorHAnsi" w:hAnsiTheme="minorHAnsi"/>
              <w:sz w:val="22"/>
            </w:rPr>
          </w:pPr>
          <w:r>
            <w:fldChar w:fldCharType="begin"/>
          </w:r>
          <w:r>
            <w:instrText xml:space="preserve"> HYPERLINK \l "_Toc256000145" </w:instrText>
          </w:r>
          <w:r>
            <w:fldChar w:fldCharType="separate"/>
          </w:r>
          <w:r>
            <w:rPr>
              <w:rStyle w:val="22"/>
              <w:rFonts w:ascii="仿宋" w:hAnsi="仿宋" w:eastAsia="仿宋" w:cs="仿宋"/>
            </w:rPr>
            <w:t>七、一般公共预算拨款“三公”经费支出决算情况说明</w:t>
          </w:r>
          <w:r>
            <w:tab/>
          </w:r>
          <w:r>
            <w:fldChar w:fldCharType="begin"/>
          </w:r>
          <w:r>
            <w:instrText xml:space="preserve"> PAGEREF _Toc256000145 \h </w:instrText>
          </w:r>
          <w:r>
            <w:fldChar w:fldCharType="separate"/>
          </w:r>
          <w:r>
            <w:t>24</w:t>
          </w:r>
          <w:r>
            <w:fldChar w:fldCharType="end"/>
          </w:r>
          <w:r>
            <w:fldChar w:fldCharType="end"/>
          </w:r>
        </w:p>
        <w:p w14:paraId="29849E00">
          <w:pPr>
            <w:pStyle w:val="10"/>
            <w:tabs>
              <w:tab w:val="right" w:leader="dot" w:pos="9730"/>
            </w:tabs>
            <w:rPr>
              <w:rFonts w:asciiTheme="minorHAnsi" w:hAnsiTheme="minorHAnsi"/>
              <w:sz w:val="22"/>
            </w:rPr>
          </w:pPr>
          <w:r>
            <w:fldChar w:fldCharType="begin"/>
          </w:r>
          <w:r>
            <w:instrText xml:space="preserve"> HYPERLINK \l "_Toc256000146" </w:instrText>
          </w:r>
          <w:r>
            <w:fldChar w:fldCharType="separate"/>
          </w:r>
          <w:r>
            <w:rPr>
              <w:rStyle w:val="22"/>
              <w:rFonts w:ascii="仿宋" w:hAnsi="仿宋" w:eastAsia="仿宋" w:cs="仿宋"/>
            </w:rPr>
            <w:t>八、预算绩效情况说明</w:t>
          </w:r>
          <w:r>
            <w:tab/>
          </w:r>
          <w:r>
            <w:fldChar w:fldCharType="begin"/>
          </w:r>
          <w:r>
            <w:instrText xml:space="preserve"> PAGEREF _Toc256000146 \h </w:instrText>
          </w:r>
          <w:r>
            <w:fldChar w:fldCharType="separate"/>
          </w:r>
          <w:r>
            <w:t>25</w:t>
          </w:r>
          <w:r>
            <w:fldChar w:fldCharType="end"/>
          </w:r>
          <w:r>
            <w:fldChar w:fldCharType="end"/>
          </w:r>
        </w:p>
        <w:p w14:paraId="60C3BE4F">
          <w:pPr>
            <w:pStyle w:val="10"/>
            <w:tabs>
              <w:tab w:val="right" w:leader="dot" w:pos="9730"/>
            </w:tabs>
            <w:rPr>
              <w:rFonts w:asciiTheme="minorHAnsi" w:hAnsiTheme="minorHAnsi"/>
              <w:sz w:val="22"/>
            </w:rPr>
          </w:pPr>
          <w:r>
            <w:fldChar w:fldCharType="begin"/>
          </w:r>
          <w:r>
            <w:instrText xml:space="preserve"> HYPERLINK \l "_Toc256000147" </w:instrText>
          </w:r>
          <w:r>
            <w:fldChar w:fldCharType="separate"/>
          </w:r>
          <w:r>
            <w:rPr>
              <w:rStyle w:val="22"/>
              <w:rFonts w:ascii="仿宋" w:hAnsi="仿宋" w:eastAsia="仿宋" w:cs="仿宋"/>
            </w:rPr>
            <w:t>九、其他重要事项说明</w:t>
          </w:r>
          <w:r>
            <w:tab/>
          </w:r>
          <w:r>
            <w:fldChar w:fldCharType="begin"/>
          </w:r>
          <w:r>
            <w:instrText xml:space="preserve"> PAGEREF _Toc256000147 \h </w:instrText>
          </w:r>
          <w:r>
            <w:fldChar w:fldCharType="separate"/>
          </w:r>
          <w:r>
            <w:t>25</w:t>
          </w:r>
          <w:r>
            <w:fldChar w:fldCharType="end"/>
          </w:r>
          <w:r>
            <w:fldChar w:fldCharType="end"/>
          </w:r>
        </w:p>
        <w:p w14:paraId="2B14E45D">
          <w:pPr>
            <w:pStyle w:val="17"/>
            <w:tabs>
              <w:tab w:val="right" w:leader="dot" w:pos="9730"/>
            </w:tabs>
            <w:rPr>
              <w:rFonts w:asciiTheme="minorHAnsi" w:hAnsiTheme="minorHAnsi"/>
              <w:sz w:val="22"/>
            </w:rPr>
          </w:pPr>
          <w:r>
            <w:fldChar w:fldCharType="begin"/>
          </w:r>
          <w:r>
            <w:instrText xml:space="preserve"> HYPERLINK \l "_Toc256000148" </w:instrText>
          </w:r>
          <w:r>
            <w:fldChar w:fldCharType="separate"/>
          </w:r>
          <w:r>
            <w:rPr>
              <w:rStyle w:val="22"/>
              <w:rFonts w:ascii="仿宋" w:hAnsi="仿宋" w:eastAsia="仿宋" w:cs="仿宋"/>
            </w:rPr>
            <w:t>第四部分</w:t>
          </w:r>
          <w:r>
            <w:rPr>
              <w:rStyle w:val="22"/>
              <w:rFonts w:ascii="黑体" w:hAnsi="黑体" w:eastAsia="黑体" w:cs="黑体"/>
            </w:rPr>
            <w:t xml:space="preserve"> </w:t>
          </w:r>
          <w:r>
            <w:rPr>
              <w:rStyle w:val="22"/>
              <w:rFonts w:ascii="仿宋" w:hAnsi="仿宋" w:eastAsia="仿宋" w:cs="仿宋"/>
            </w:rPr>
            <w:t>名词解释</w:t>
          </w:r>
          <w:r>
            <w:tab/>
          </w:r>
          <w:r>
            <w:fldChar w:fldCharType="begin"/>
          </w:r>
          <w:r>
            <w:instrText xml:space="preserve"> PAGEREF _Toc256000148 \h </w:instrText>
          </w:r>
          <w:r>
            <w:fldChar w:fldCharType="separate"/>
          </w:r>
          <w:r>
            <w:t>27</w:t>
          </w:r>
          <w:r>
            <w:fldChar w:fldCharType="end"/>
          </w:r>
          <w:r>
            <w:fldChar w:fldCharType="end"/>
          </w:r>
        </w:p>
        <w:p w14:paraId="25677FFE">
          <w:pPr>
            <w:pStyle w:val="17"/>
            <w:tabs>
              <w:tab w:val="right" w:leader="dot" w:pos="9730"/>
            </w:tabs>
            <w:rPr>
              <w:rFonts w:asciiTheme="minorHAnsi" w:hAnsiTheme="minorHAnsi"/>
              <w:sz w:val="22"/>
            </w:rPr>
          </w:pPr>
          <w:r>
            <w:fldChar w:fldCharType="begin"/>
          </w:r>
          <w:r>
            <w:instrText xml:space="preserve"> HYPERLINK \l "_Toc256000149" </w:instrText>
          </w:r>
          <w:r>
            <w:fldChar w:fldCharType="separate"/>
          </w:r>
          <w:r>
            <w:rPr>
              <w:rStyle w:val="22"/>
              <w:rFonts w:ascii="仿宋" w:hAnsi="仿宋" w:eastAsia="仿宋" w:cs="仿宋"/>
            </w:rPr>
            <w:t>第五部分</w:t>
          </w:r>
          <w:r>
            <w:rPr>
              <w:rStyle w:val="22"/>
              <w:rFonts w:ascii="黑体" w:hAnsi="黑体" w:eastAsia="黑体" w:cs="黑体"/>
            </w:rPr>
            <w:t xml:space="preserve"> </w:t>
          </w:r>
          <w:r>
            <w:rPr>
              <w:rStyle w:val="22"/>
              <w:rFonts w:ascii="仿宋" w:hAnsi="仿宋" w:eastAsia="仿宋" w:cs="仿宋"/>
            </w:rPr>
            <w:t>附件</w:t>
          </w:r>
          <w:r>
            <w:tab/>
          </w:r>
          <w:r>
            <w:fldChar w:fldCharType="begin"/>
          </w:r>
          <w:r>
            <w:instrText xml:space="preserve"> PAGEREF _Toc256000149 \h </w:instrText>
          </w:r>
          <w:r>
            <w:fldChar w:fldCharType="separate"/>
          </w:r>
          <w:r>
            <w:t>30</w:t>
          </w:r>
          <w:r>
            <w:fldChar w:fldCharType="end"/>
          </w:r>
          <w:r>
            <w:fldChar w:fldCharType="end"/>
          </w:r>
        </w:p>
        <w:p w14:paraId="58BD16BE">
          <w:pPr>
            <w:adjustRightInd w:val="0"/>
            <w:snapToGrid w:val="0"/>
            <w:rPr>
              <w:rFonts w:hint="eastAsia" w:ascii="仿宋" w:hAnsi="仿宋" w:eastAsia="仿宋" w:cs="仿宋"/>
              <w:b w:val="0"/>
              <w:bCs/>
              <w:kern w:val="2"/>
              <w:sz w:val="32"/>
              <w:szCs w:val="32"/>
              <w:lang w:val="en-US" w:eastAsia="zh-CN" w:bidi="ar-SA"/>
            </w:rPr>
            <w:sectPr>
              <w:footerReference r:id="rId4" w:type="default"/>
              <w:pgSz w:w="11906" w:h="16838"/>
              <w:pgMar w:top="1440" w:right="1083" w:bottom="1440" w:left="1083" w:header="0" w:footer="720" w:gutter="0"/>
              <w:pgNumType w:start="1"/>
              <w:cols w:space="0" w:num="1"/>
              <w:rtlGutter w:val="0"/>
              <w:docGrid w:type="lines" w:linePitch="317" w:charSpace="0"/>
            </w:sectPr>
          </w:pPr>
          <w:r>
            <w:rPr>
              <w:rFonts w:hint="eastAsia" w:ascii="仿宋" w:hAnsi="仿宋" w:eastAsia="仿宋" w:cs="仿宋"/>
              <w:b w:val="0"/>
              <w:bCs/>
              <w:kern w:val="2"/>
              <w:sz w:val="32"/>
              <w:szCs w:val="32"/>
              <w:lang w:val="en-US" w:eastAsia="zh-CN" w:bidi="ar-SA"/>
            </w:rPr>
            <w:fldChar w:fldCharType="end"/>
          </w:r>
        </w:p>
      </w:sdtContent>
    </w:sdt>
    <w:p w14:paraId="70202DA5">
      <w:pPr>
        <w:pStyle w:val="28"/>
        <w:widowControl/>
        <w:spacing w:after="240"/>
        <w:jc w:val="left"/>
        <w:rPr>
          <w:rFonts w:ascii="Times New Roman" w:hAnsi="Times New Roman" w:eastAsia="Times New Roman" w:cs="Times New Roman"/>
          <w:kern w:val="0"/>
          <w:sz w:val="24"/>
        </w:rPr>
      </w:pPr>
      <w:bookmarkStart w:id="0" w:name="a000"/>
    </w:p>
    <w:p w14:paraId="3AD3B70F">
      <w:pPr>
        <w:widowControl/>
        <w:spacing w:before="240" w:after="240"/>
        <w:jc w:val="left"/>
        <w:rPr>
          <w:rFonts w:ascii="Times New Roman" w:hAnsi="Times New Roman" w:eastAsia="Times New Roman" w:cs="Times New Roman"/>
          <w:kern w:val="0"/>
          <w:sz w:val="24"/>
        </w:rPr>
      </w:pPr>
    </w:p>
    <w:p w14:paraId="7083165B">
      <w:pPr>
        <w:widowControl/>
        <w:spacing w:before="240" w:after="240"/>
        <w:jc w:val="left"/>
        <w:rPr>
          <w:rFonts w:ascii="Times New Roman" w:hAnsi="Times New Roman" w:eastAsia="Times New Roman" w:cs="Times New Roman"/>
          <w:kern w:val="0"/>
          <w:sz w:val="24"/>
        </w:rPr>
      </w:pPr>
    </w:p>
    <w:p w14:paraId="54865B14">
      <w:pPr>
        <w:widowControl/>
        <w:spacing w:before="240" w:after="240"/>
        <w:jc w:val="left"/>
        <w:rPr>
          <w:rFonts w:ascii="Times New Roman" w:hAnsi="Times New Roman" w:eastAsia="Times New Roman" w:cs="Times New Roman"/>
          <w:kern w:val="0"/>
          <w:sz w:val="24"/>
        </w:rPr>
      </w:pPr>
    </w:p>
    <w:p w14:paraId="4D3EE748">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 w:name="_Toc256000075"/>
      <w:bookmarkStart w:id="2" w:name="_Toc256000050"/>
      <w:bookmarkStart w:id="3" w:name="_Toc256000125"/>
      <w:bookmarkStart w:id="4" w:name="_Toc256000100"/>
      <w:bookmarkStart w:id="5" w:name="_Toc256000025"/>
      <w:bookmarkStart w:id="6" w:name="_Toc256000000"/>
      <w:r>
        <w:rPr>
          <w:rFonts w:ascii="黑体" w:hAnsi="黑体" w:eastAsia="黑体" w:cs="黑体"/>
          <w:b w:val="0"/>
          <w:bCs w:val="0"/>
          <w:spacing w:val="0"/>
          <w:sz w:val="56"/>
          <w:szCs w:val="56"/>
        </w:rPr>
        <w:t>第一部分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单位概况</w:t>
      </w:r>
      <w:bookmarkEnd w:id="1"/>
      <w:bookmarkEnd w:id="2"/>
      <w:bookmarkEnd w:id="3"/>
      <w:bookmarkEnd w:id="4"/>
      <w:bookmarkEnd w:id="5"/>
      <w:bookmarkEnd w:id="6"/>
    </w:p>
    <w:p w14:paraId="340EC5F9">
      <w:pPr>
        <w:sectPr>
          <w:footerReference r:id="rId5" w:type="default"/>
          <w:pgSz w:w="11906" w:h="16838"/>
          <w:pgMar w:top="1440" w:right="720" w:bottom="1440" w:left="720" w:header="720" w:footer="720" w:gutter="0"/>
          <w:pgNumType w:start="1"/>
          <w:cols w:space="720" w:num="1"/>
        </w:sectPr>
      </w:pPr>
    </w:p>
    <w:p w14:paraId="18E51ECB">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563E3CF7">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7" w:name="_Toc256000026"/>
      <w:bookmarkStart w:id="8" w:name="_Toc256000001"/>
      <w:bookmarkStart w:id="9" w:name="_Toc256000101"/>
      <w:bookmarkStart w:id="10" w:name="_Toc256000126"/>
      <w:bookmarkStart w:id="11" w:name="_Toc256000076"/>
      <w:bookmarkStart w:id="12" w:name="_Toc256000051"/>
      <w:r>
        <w:rPr>
          <w:rFonts w:ascii="黑体" w:hAnsi="黑体" w:eastAsia="黑体" w:cs="黑体"/>
          <w:b w:val="0"/>
          <w:bCs w:val="0"/>
          <w:spacing w:val="0"/>
        </w:rPr>
        <w:t>一、单位主要职责</w:t>
      </w:r>
      <w:bookmarkEnd w:id="7"/>
      <w:bookmarkEnd w:id="8"/>
      <w:bookmarkEnd w:id="9"/>
      <w:bookmarkEnd w:id="10"/>
      <w:bookmarkEnd w:id="11"/>
      <w:bookmarkEnd w:id="12"/>
    </w:p>
    <w:p w14:paraId="4ACAFAB7">
      <w:pPr>
        <w:pStyle w:val="28"/>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莆田市木兰溪干部教育培训中心单位的主要职责是：</w:t>
      </w:r>
    </w:p>
    <w:p w14:paraId="0A7AF715">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（一）认真贯彻校（院）中心工作和处室、中心工作目标 要求，做好全年各项培训任务。</w:t>
      </w:r>
    </w:p>
    <w:p w14:paraId="240CF094">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（二）按照市委、市政府会议纪要精神，扎实贯彻落实习 近平总书记科学治水理念，接续推进木兰溪学习教育基地干 部教育的市外外培工作与我市文化旅游、生态旅游产业相衔 接，发挥党校资政作用。</w:t>
      </w:r>
    </w:p>
    <w:p w14:paraId="64269FA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spacing w:val="0"/>
          <w:kern w:val="0"/>
          <w:sz w:val="32"/>
          <w:szCs w:val="32"/>
        </w:rPr>
        <w:t xml:space="preserve">（三）按照全国、全省全市党校工作会议精神，认真贯彻 《中国共产党党校（行政学院）工作条例》相关要求，积极 主动做好各种班次培训工作。 </w:t>
      </w:r>
    </w:p>
    <w:p w14:paraId="74B84AD1">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 w:name="_Toc256000127"/>
      <w:bookmarkStart w:id="14" w:name="_Toc256000077"/>
      <w:bookmarkStart w:id="15" w:name="_Toc256000002"/>
      <w:bookmarkStart w:id="16" w:name="_Toc256000102"/>
      <w:bookmarkStart w:id="17" w:name="_Toc256000027"/>
      <w:bookmarkStart w:id="18" w:name="_Toc256000052"/>
      <w:r>
        <w:rPr>
          <w:rFonts w:ascii="黑体" w:hAnsi="黑体" w:eastAsia="黑体" w:cs="黑体"/>
          <w:b w:val="0"/>
          <w:bCs w:val="0"/>
          <w:spacing w:val="0"/>
        </w:rPr>
        <w:t>二、单位基本情况</w:t>
      </w:r>
      <w:bookmarkEnd w:id="13"/>
      <w:bookmarkEnd w:id="14"/>
      <w:bookmarkEnd w:id="15"/>
      <w:bookmarkEnd w:id="16"/>
      <w:bookmarkEnd w:id="17"/>
      <w:bookmarkEnd w:id="18"/>
    </w:p>
    <w:p w14:paraId="4CE9BE9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从决算单位构成看，本单位包括</w:t>
      </w:r>
      <w:r>
        <w:rPr>
          <w:rFonts w:hint="eastAsia" w:ascii="仿宋_GB2312" w:hAnsi="仿宋_GB2312" w:eastAsia="仿宋_GB2312" w:cs="仿宋_GB2312"/>
          <w:spacing w:val="0"/>
          <w:kern w:val="0"/>
          <w:sz w:val="32"/>
          <w:szCs w:val="32"/>
          <w:lang w:val="en-US" w:eastAsia="zh-CN"/>
        </w:rPr>
        <w:t>0</w:t>
      </w:r>
      <w:r>
        <w:rPr>
          <w:rFonts w:ascii="仿宋_GB2312" w:hAnsi="仿宋_GB2312" w:eastAsia="仿宋_GB2312" w:cs="仿宋_GB2312"/>
          <w:spacing w:val="0"/>
          <w:kern w:val="0"/>
          <w:sz w:val="32"/>
          <w:szCs w:val="32"/>
        </w:rPr>
        <w:t>个内设机构，其中：列入2024年决算编制范围的单位详细情况见下表:</w:t>
      </w:r>
    </w:p>
    <w:tbl>
      <w:tblPr>
        <w:tblStyle w:val="19"/>
        <w:tblW w:w="5000" w:type="pct"/>
        <w:tblInd w:w="130"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4671"/>
        <w:gridCol w:w="3503"/>
        <w:gridCol w:w="2336"/>
      </w:tblGrid>
      <w:tr w14:paraId="3DDCC0B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blHeader/>
        </w:trPr>
        <w:tc>
          <w:tcPr>
            <w:tcW w:w="2000" w:type="pct"/>
            <w:tcBorders>
              <w:bottom w:val="inset" w:color="808080" w:sz="6" w:space="0"/>
              <w:right w:val="inset" w:color="808080" w:sz="6" w:space="0"/>
            </w:tcBorders>
            <w:noWrap w:val="0"/>
            <w:tcMar>
              <w:top w:w="22" w:type="dxa"/>
              <w:left w:w="22" w:type="dxa"/>
              <w:bottom w:w="22" w:type="dxa"/>
              <w:right w:w="22" w:type="dxa"/>
            </w:tcMar>
            <w:vAlign w:val="center"/>
          </w:tcPr>
          <w:p w14:paraId="738878CC">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单位名称</w:t>
            </w:r>
          </w:p>
        </w:tc>
        <w:tc>
          <w:tcPr>
            <w:tcW w:w="1500" w:type="pct"/>
            <w:tcBorders>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0CD08DD">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单位性质</w:t>
            </w:r>
          </w:p>
        </w:tc>
        <w:tc>
          <w:tcPr>
            <w:tcW w:w="1000" w:type="pct"/>
            <w:tcBorders>
              <w:left w:val="inset" w:color="808080" w:sz="6" w:space="0"/>
              <w:bottom w:val="inset" w:color="808080" w:sz="6" w:space="0"/>
            </w:tcBorders>
            <w:noWrap w:val="0"/>
            <w:tcMar>
              <w:top w:w="22" w:type="dxa"/>
              <w:left w:w="22" w:type="dxa"/>
              <w:bottom w:w="22" w:type="dxa"/>
              <w:right w:w="22" w:type="dxa"/>
            </w:tcMar>
            <w:vAlign w:val="center"/>
          </w:tcPr>
          <w:p w14:paraId="47130739">
            <w:pPr>
              <w:widowControl/>
              <w:ind w:firstLine="640"/>
              <w:jc w:val="center"/>
              <w:rPr>
                <w:rFonts w:ascii="宋体" w:hAnsi="宋体" w:eastAsia="宋体" w:cs="宋体"/>
                <w:b/>
                <w:bCs/>
                <w:i w:val="0"/>
                <w:iCs w:val="0"/>
                <w:smallCaps w:val="0"/>
                <w:color w:val="000000"/>
                <w:spacing w:val="0"/>
                <w:kern w:val="0"/>
                <w:sz w:val="24"/>
              </w:rPr>
            </w:pPr>
            <w:r>
              <w:rPr>
                <w:rFonts w:ascii="宋体" w:hAnsi="宋体" w:eastAsia="宋体" w:cs="宋体"/>
                <w:b/>
                <w:bCs/>
                <w:i w:val="0"/>
                <w:iCs w:val="0"/>
                <w:smallCaps w:val="0"/>
                <w:color w:val="000000"/>
                <w:spacing w:val="0"/>
                <w:kern w:val="0"/>
                <w:sz w:val="21"/>
              </w:rPr>
              <w:t>在职人数</w:t>
            </w:r>
          </w:p>
        </w:tc>
      </w:tr>
      <w:tr w14:paraId="44F5BD0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cantSplit/>
        </w:trPr>
        <w:tc>
          <w:tcPr>
            <w:tcW w:w="4258" w:type="dxa"/>
            <w:tcBorders>
              <w:top w:val="inset" w:color="808080" w:sz="6" w:space="0"/>
              <w:right w:val="inset" w:color="808080" w:sz="6" w:space="0"/>
            </w:tcBorders>
            <w:noWrap w:val="0"/>
            <w:tcMar>
              <w:top w:w="22" w:type="dxa"/>
              <w:left w:w="22" w:type="dxa"/>
              <w:bottom w:w="22" w:type="dxa"/>
              <w:right w:w="22" w:type="dxa"/>
            </w:tcMar>
            <w:vAlign w:val="center"/>
          </w:tcPr>
          <w:p w14:paraId="5607DD6D">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莆田市木兰溪干部教育培训中心</w:t>
            </w:r>
          </w:p>
        </w:tc>
        <w:tc>
          <w:tcPr>
            <w:tcW w:w="3193" w:type="dxa"/>
            <w:tcBorders>
              <w:top w:val="inset" w:color="808080" w:sz="6" w:space="0"/>
              <w:left w:val="inset" w:color="808080" w:sz="6" w:space="0"/>
              <w:right w:val="inset" w:color="808080" w:sz="6" w:space="0"/>
            </w:tcBorders>
            <w:noWrap w:val="0"/>
            <w:tcMar>
              <w:top w:w="22" w:type="dxa"/>
              <w:left w:w="22" w:type="dxa"/>
              <w:bottom w:w="22" w:type="dxa"/>
              <w:right w:w="22" w:type="dxa"/>
            </w:tcMar>
            <w:vAlign w:val="center"/>
          </w:tcPr>
          <w:p w14:paraId="1BC1F138">
            <w:pPr>
              <w:widowControl/>
              <w:ind w:firstLine="640"/>
              <w:jc w:val="center"/>
              <w:rPr>
                <w:rFonts w:hint="default" w:ascii="宋体" w:hAnsi="宋体" w:eastAsia="宋体" w:cs="宋体"/>
                <w:b w:val="0"/>
                <w:bCs w:val="0"/>
                <w:i w:val="0"/>
                <w:iCs w:val="0"/>
                <w:smallCaps w:val="0"/>
                <w:color w:val="000000"/>
                <w:spacing w:val="0"/>
                <w:kern w:val="0"/>
                <w:sz w:val="24"/>
                <w:lang w:val="en-US"/>
              </w:rPr>
            </w:pPr>
            <w:r>
              <w:rPr>
                <w:rFonts w:hint="eastAsia" w:ascii="宋体" w:hAnsi="宋体" w:cs="宋体"/>
                <w:b w:val="0"/>
                <w:bCs w:val="0"/>
                <w:i w:val="0"/>
                <w:iCs w:val="0"/>
                <w:smallCaps w:val="0"/>
                <w:color w:val="000000"/>
                <w:spacing w:val="0"/>
                <w:kern w:val="0"/>
                <w:sz w:val="21"/>
                <w:lang w:val="en-US" w:eastAsia="zh-CN"/>
              </w:rPr>
              <w:t>暂未分类事业单位</w:t>
            </w:r>
          </w:p>
        </w:tc>
        <w:tc>
          <w:tcPr>
            <w:tcW w:w="2129" w:type="dxa"/>
            <w:tcBorders>
              <w:top w:val="inset" w:color="808080" w:sz="6" w:space="0"/>
              <w:left w:val="inset" w:color="808080" w:sz="6" w:space="0"/>
            </w:tcBorders>
            <w:noWrap w:val="0"/>
            <w:tcMar>
              <w:top w:w="22" w:type="dxa"/>
              <w:left w:w="22" w:type="dxa"/>
              <w:bottom w:w="22" w:type="dxa"/>
              <w:right w:w="22" w:type="dxa"/>
            </w:tcMar>
            <w:vAlign w:val="center"/>
          </w:tcPr>
          <w:p w14:paraId="55E35E36">
            <w:pPr>
              <w:widowControl/>
              <w:ind w:firstLine="640"/>
              <w:jc w:val="center"/>
              <w:rPr>
                <w:rFonts w:ascii="宋体" w:hAnsi="宋体" w:eastAsia="宋体" w:cs="宋体"/>
                <w:b w:val="0"/>
                <w:bCs w:val="0"/>
                <w:i w:val="0"/>
                <w:iCs w:val="0"/>
                <w:smallCaps w:val="0"/>
                <w:color w:val="000000"/>
                <w:spacing w:val="0"/>
                <w:kern w:val="0"/>
                <w:sz w:val="24"/>
              </w:rPr>
            </w:pPr>
            <w:r>
              <w:rPr>
                <w:rFonts w:ascii="宋体" w:hAnsi="宋体" w:eastAsia="宋体" w:cs="宋体"/>
                <w:b w:val="0"/>
                <w:bCs w:val="0"/>
                <w:i w:val="0"/>
                <w:iCs w:val="0"/>
                <w:smallCaps w:val="0"/>
                <w:color w:val="000000"/>
                <w:spacing w:val="0"/>
                <w:kern w:val="0"/>
                <w:sz w:val="21"/>
              </w:rPr>
              <w:t>3</w:t>
            </w:r>
          </w:p>
        </w:tc>
      </w:tr>
    </w:tbl>
    <w:p w14:paraId="56CF9723">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9" w:name="_Toc256000078"/>
      <w:bookmarkStart w:id="20" w:name="_Toc256000128"/>
      <w:bookmarkStart w:id="21" w:name="_Toc256000103"/>
      <w:bookmarkStart w:id="22" w:name="_Toc256000003"/>
      <w:bookmarkStart w:id="23" w:name="_Toc256000028"/>
      <w:bookmarkStart w:id="24" w:name="_Toc256000053"/>
      <w:r>
        <w:rPr>
          <w:rFonts w:ascii="黑体" w:hAnsi="黑体" w:eastAsia="黑体" w:cs="黑体"/>
          <w:b w:val="0"/>
          <w:bCs w:val="0"/>
          <w:spacing w:val="0"/>
        </w:rPr>
        <w:t>三、单位主要工作总结</w:t>
      </w:r>
      <w:bookmarkEnd w:id="19"/>
      <w:bookmarkEnd w:id="20"/>
      <w:bookmarkEnd w:id="21"/>
      <w:bookmarkEnd w:id="22"/>
      <w:bookmarkEnd w:id="23"/>
      <w:bookmarkEnd w:id="24"/>
    </w:p>
    <w:p w14:paraId="551A0B88">
      <w:pPr>
        <w:pStyle w:val="28"/>
        <w:widowControl/>
        <w:spacing w:before="100" w:after="100" w:line="560" w:lineRule="atLeast"/>
        <w:ind w:left="100" w:right="100" w:firstLine="640"/>
        <w:jc w:val="left"/>
        <w:rPr>
          <w:rFonts w:ascii="仿宋_GB2312" w:hAnsi="仿宋_GB2312" w:eastAsia="仿宋_GB2312" w:cs="仿宋_GB2312"/>
          <w:spacing w:val="0"/>
          <w:kern w:val="0"/>
          <w:sz w:val="32"/>
          <w:szCs w:val="32"/>
        </w:rPr>
      </w:pPr>
      <w:r>
        <w:rPr>
          <w:rFonts w:ascii="仿宋_GB2312" w:hAnsi="仿宋_GB2312" w:eastAsia="仿宋_GB2312" w:cs="仿宋_GB2312"/>
          <w:spacing w:val="0"/>
          <w:kern w:val="0"/>
          <w:sz w:val="32"/>
          <w:szCs w:val="32"/>
        </w:rPr>
        <w:t>2024年，莆田市木兰溪干部教育培训中心单位主要任务是：</w:t>
      </w:r>
      <w:r>
        <w:rPr>
          <w:rFonts w:hint="eastAsia" w:ascii="仿宋_GB2312" w:hAnsi="仿宋_GB2312" w:eastAsia="仿宋_GB2312" w:cs="仿宋_GB2312"/>
          <w:spacing w:val="0"/>
          <w:kern w:val="0"/>
          <w:sz w:val="32"/>
          <w:szCs w:val="32"/>
        </w:rPr>
        <w:t>坚持以习近平新时代中国特色社会主义思想为指导，深入学习宣传贯彻党的二十大精神，加强与有关部门的联系、沟通和协调，发挥党校培训干部的“主阵地”、“主渠道”优势，拓宽办学途径，在市内外各级党政机关、企事业单位的领导骨干以及其他行业系统的管理人员为主要培训对象进行培训。</w:t>
      </w:r>
      <w:r>
        <w:rPr>
          <w:rFonts w:ascii="仿宋_GB2312" w:hAnsi="仿宋_GB2312" w:eastAsia="仿宋_GB2312" w:cs="仿宋_GB2312"/>
          <w:spacing w:val="0"/>
          <w:kern w:val="0"/>
          <w:sz w:val="32"/>
          <w:szCs w:val="32"/>
        </w:rPr>
        <w:t>围绕上述任务，重点完成了以下工作：</w:t>
      </w:r>
    </w:p>
    <w:p w14:paraId="0A1D896D">
      <w:pPr>
        <w:pStyle w:val="28"/>
        <w:widowControl/>
        <w:spacing w:before="100" w:after="100" w:line="560" w:lineRule="atLeast"/>
        <w:ind w:left="100" w:right="100" w:firstLine="640"/>
        <w:jc w:val="left"/>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一）深入学习宣传贯彻党的二十大精神，把党的二十大精神作为重点学习内容，列为教育培训必修课。继续开发学习宣传贯彻党的二十大精神教学专题。加强与高校、社科机构和市直有关部门的交流协作，同时注重挖掘学员潜能，集聚各方力量，推出一批有理论深度和科研含量的培训专题。</w:t>
      </w:r>
    </w:p>
    <w:p w14:paraId="245BF3F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spacing w:val="0"/>
          <w:kern w:val="0"/>
          <w:sz w:val="32"/>
          <w:szCs w:val="32"/>
        </w:rPr>
        <w:t>（二）加大宣传推介力度，把“木兰溪”牌子树起来，讲好“木兰溪”故事，多渠道培训干部办班。</w:t>
      </w:r>
    </w:p>
    <w:p w14:paraId="613D79A6">
      <w:pPr>
        <w:pStyle w:val="28"/>
        <w:widowControl/>
        <w:spacing w:before="100" w:after="100" w:line="560" w:lineRule="atLeast"/>
        <w:ind w:left="100" w:right="100" w:firstLine="640"/>
        <w:jc w:val="left"/>
        <w:rPr>
          <w:rFonts w:ascii="Times New Roman" w:hAnsi="Times New Roman" w:eastAsia="Times New Roman" w:cs="Times New Roman"/>
          <w:kern w:val="0"/>
          <w:sz w:val="24"/>
        </w:rPr>
      </w:pPr>
    </w:p>
    <w:p w14:paraId="20EFF397">
      <w:pPr>
        <w:sectPr>
          <w:footerReference r:id="rId6" w:type="default"/>
          <w:pgSz w:w="11906" w:h="16838"/>
          <w:pgMar w:top="1440" w:right="720" w:bottom="1440" w:left="720" w:header="720" w:footer="720" w:gutter="0"/>
          <w:cols w:space="720" w:num="1"/>
        </w:sectPr>
      </w:pPr>
    </w:p>
    <w:p w14:paraId="2493991E">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AE0253B">
      <w:pPr>
        <w:pStyle w:val="29"/>
        <w:widowControl/>
        <w:spacing w:before="100" w:after="100"/>
        <w:ind w:left="100" w:right="100" w:firstLine="640"/>
        <w:jc w:val="left"/>
        <w:rPr>
          <w:rFonts w:ascii="Times New Roman" w:hAnsi="Times New Roman" w:eastAsia="Times New Roman" w:cs="Times New Roman"/>
          <w:kern w:val="0"/>
          <w:sz w:val="24"/>
        </w:rPr>
      </w:pPr>
    </w:p>
    <w:p w14:paraId="137FD1C5">
      <w:pPr>
        <w:pStyle w:val="29"/>
        <w:widowControl/>
        <w:spacing w:before="100" w:after="100"/>
        <w:ind w:left="100" w:right="100" w:firstLine="640"/>
        <w:jc w:val="left"/>
        <w:rPr>
          <w:rFonts w:ascii="Times New Roman" w:hAnsi="Times New Roman" w:eastAsia="Times New Roman" w:cs="Times New Roman"/>
          <w:kern w:val="0"/>
          <w:sz w:val="24"/>
        </w:rPr>
      </w:pPr>
    </w:p>
    <w:p w14:paraId="585066B4">
      <w:pPr>
        <w:pStyle w:val="29"/>
        <w:widowControl/>
        <w:spacing w:before="100" w:after="100"/>
        <w:ind w:left="100" w:right="100" w:firstLine="640"/>
        <w:jc w:val="left"/>
        <w:rPr>
          <w:rFonts w:ascii="Times New Roman" w:hAnsi="Times New Roman" w:eastAsia="Times New Roman" w:cs="Times New Roman"/>
          <w:kern w:val="0"/>
          <w:sz w:val="24"/>
        </w:rPr>
      </w:pPr>
    </w:p>
    <w:p w14:paraId="355DD1BC">
      <w:pPr>
        <w:pStyle w:val="29"/>
        <w:widowControl/>
        <w:spacing w:before="100" w:after="100"/>
        <w:ind w:left="100" w:right="100" w:firstLine="640"/>
        <w:jc w:val="left"/>
        <w:rPr>
          <w:rFonts w:ascii="Times New Roman" w:hAnsi="Times New Roman" w:eastAsia="Times New Roman" w:cs="Times New Roman"/>
          <w:kern w:val="0"/>
          <w:sz w:val="24"/>
        </w:rPr>
      </w:pPr>
    </w:p>
    <w:p w14:paraId="59793559">
      <w:pPr>
        <w:pStyle w:val="29"/>
        <w:widowControl/>
        <w:spacing w:before="100" w:after="100"/>
        <w:ind w:left="100" w:right="100" w:firstLine="640"/>
        <w:jc w:val="left"/>
        <w:rPr>
          <w:rFonts w:ascii="Times New Roman" w:hAnsi="Times New Roman" w:eastAsia="Times New Roman" w:cs="Times New Roman"/>
          <w:kern w:val="0"/>
          <w:sz w:val="24"/>
        </w:rPr>
      </w:pPr>
    </w:p>
    <w:p w14:paraId="054E65D7">
      <w:pPr>
        <w:pStyle w:val="29"/>
        <w:widowControl/>
        <w:spacing w:before="100" w:after="100"/>
        <w:ind w:left="100" w:right="100" w:firstLine="640"/>
        <w:jc w:val="left"/>
        <w:rPr>
          <w:rFonts w:ascii="Times New Roman" w:hAnsi="Times New Roman" w:eastAsia="Times New Roman" w:cs="Times New Roman"/>
          <w:kern w:val="0"/>
          <w:sz w:val="24"/>
        </w:rPr>
      </w:pPr>
    </w:p>
    <w:p w14:paraId="373E9F1A">
      <w:pPr>
        <w:pStyle w:val="29"/>
        <w:widowControl/>
        <w:spacing w:before="100" w:after="100"/>
        <w:ind w:left="100" w:right="100" w:firstLine="640"/>
        <w:jc w:val="left"/>
        <w:rPr>
          <w:rFonts w:ascii="Times New Roman" w:hAnsi="Times New Roman" w:eastAsia="Times New Roman" w:cs="Times New Roman"/>
          <w:kern w:val="0"/>
          <w:sz w:val="24"/>
        </w:rPr>
      </w:pPr>
    </w:p>
    <w:p w14:paraId="2872A17A">
      <w:pPr>
        <w:pStyle w:val="29"/>
        <w:widowControl/>
        <w:spacing w:before="100" w:after="100"/>
        <w:ind w:left="100" w:right="100" w:firstLine="640"/>
        <w:jc w:val="left"/>
        <w:rPr>
          <w:rFonts w:ascii="Times New Roman" w:hAnsi="Times New Roman" w:eastAsia="Times New Roman" w:cs="Times New Roman"/>
          <w:kern w:val="0"/>
          <w:sz w:val="24"/>
        </w:rPr>
      </w:pPr>
    </w:p>
    <w:p w14:paraId="2B65DBC6">
      <w:pPr>
        <w:pStyle w:val="29"/>
        <w:widowControl/>
        <w:spacing w:before="100" w:after="100"/>
        <w:ind w:left="100" w:right="100" w:firstLine="640"/>
        <w:jc w:val="left"/>
        <w:rPr>
          <w:rFonts w:ascii="Times New Roman" w:hAnsi="Times New Roman" w:eastAsia="Times New Roman" w:cs="Times New Roman"/>
          <w:kern w:val="0"/>
          <w:sz w:val="24"/>
        </w:rPr>
      </w:pPr>
    </w:p>
    <w:p w14:paraId="771ED8F4">
      <w:pPr>
        <w:pStyle w:val="29"/>
        <w:widowControl/>
        <w:spacing w:before="100" w:after="100"/>
        <w:ind w:left="100" w:right="100" w:firstLine="640"/>
        <w:jc w:val="left"/>
        <w:rPr>
          <w:rFonts w:ascii="Times New Roman" w:hAnsi="Times New Roman" w:eastAsia="Times New Roman" w:cs="Times New Roman"/>
          <w:kern w:val="0"/>
          <w:sz w:val="24"/>
        </w:rPr>
      </w:pPr>
    </w:p>
    <w:p w14:paraId="50C26929">
      <w:pPr>
        <w:pStyle w:val="29"/>
        <w:widowControl/>
        <w:spacing w:before="100" w:after="100"/>
        <w:ind w:left="100" w:right="100" w:firstLine="640"/>
        <w:jc w:val="left"/>
        <w:rPr>
          <w:rFonts w:ascii="Times New Roman" w:hAnsi="Times New Roman" w:eastAsia="Times New Roman" w:cs="Times New Roman"/>
          <w:kern w:val="0"/>
          <w:sz w:val="24"/>
        </w:rPr>
      </w:pPr>
    </w:p>
    <w:p w14:paraId="4B223EE3">
      <w:pPr>
        <w:pStyle w:val="29"/>
        <w:widowControl/>
        <w:spacing w:before="100" w:after="100"/>
        <w:ind w:left="100" w:right="100" w:firstLine="640"/>
        <w:jc w:val="left"/>
        <w:rPr>
          <w:rFonts w:ascii="Times New Roman" w:hAnsi="Times New Roman" w:eastAsia="Times New Roman" w:cs="Times New Roman"/>
          <w:kern w:val="0"/>
          <w:sz w:val="24"/>
        </w:rPr>
      </w:pPr>
    </w:p>
    <w:p w14:paraId="0415D9B9">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25" w:name="_Toc256000029"/>
      <w:bookmarkStart w:id="26" w:name="_Toc256000129"/>
      <w:bookmarkStart w:id="27" w:name="_Toc256000054"/>
      <w:bookmarkStart w:id="28" w:name="_Toc256000004"/>
      <w:bookmarkStart w:id="29" w:name="_Toc256000104"/>
      <w:bookmarkStart w:id="30" w:name="_Toc256000079"/>
      <w:r>
        <w:rPr>
          <w:rFonts w:ascii="黑体" w:hAnsi="黑体" w:eastAsia="黑体" w:cs="黑体"/>
          <w:b w:val="0"/>
          <w:bCs w:val="0"/>
          <w:spacing w:val="0"/>
          <w:sz w:val="56"/>
          <w:szCs w:val="56"/>
        </w:rPr>
        <w:t>第二部分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2024年度单位决算表</w:t>
      </w:r>
      <w:bookmarkEnd w:id="25"/>
      <w:bookmarkEnd w:id="26"/>
      <w:bookmarkEnd w:id="27"/>
      <w:bookmarkEnd w:id="28"/>
      <w:bookmarkEnd w:id="29"/>
      <w:bookmarkEnd w:id="30"/>
    </w:p>
    <w:p w14:paraId="6C203443">
      <w:pPr>
        <w:sectPr>
          <w:footerReference r:id="rId7" w:type="default"/>
          <w:pgSz w:w="11906" w:h="16838"/>
          <w:pgMar w:top="1440" w:right="720" w:bottom="1440" w:left="720" w:header="720" w:footer="720" w:gutter="0"/>
          <w:cols w:space="720" w:num="1"/>
        </w:sectPr>
      </w:pPr>
    </w:p>
    <w:p w14:paraId="33F4D8E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35E21F6D">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1" w:name="_Toc256000105"/>
      <w:bookmarkStart w:id="32" w:name="_Toc256000130"/>
      <w:bookmarkStart w:id="33" w:name="_Toc256000080"/>
      <w:bookmarkStart w:id="34" w:name="_Toc256000005"/>
      <w:bookmarkStart w:id="35" w:name="_Toc256000055"/>
      <w:bookmarkStart w:id="36" w:name="_Toc256000030"/>
      <w:r>
        <w:rPr>
          <w:rFonts w:ascii="黑体" w:hAnsi="黑体" w:eastAsia="黑体" w:cs="黑体"/>
          <w:b w:val="0"/>
          <w:bCs w:val="0"/>
          <w:spacing w:val="0"/>
        </w:rPr>
        <w:t>一、收入支出决算总表</w:t>
      </w:r>
      <w:bookmarkEnd w:id="31"/>
      <w:bookmarkEnd w:id="32"/>
      <w:bookmarkEnd w:id="33"/>
      <w:bookmarkEnd w:id="34"/>
      <w:bookmarkEnd w:id="35"/>
      <w:bookmarkEnd w:id="36"/>
    </w:p>
    <w:p w14:paraId="17D80CF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3789"/>
        <w:gridCol w:w="3790"/>
        <w:gridCol w:w="3790"/>
        <w:gridCol w:w="3790"/>
      </w:tblGrid>
      <w:tr w14:paraId="5A9AB7C3">
        <w:tblPrEx>
          <w:tblCellMar>
            <w:top w:w="0" w:type="dxa"/>
            <w:left w:w="108" w:type="dxa"/>
            <w:bottom w:w="0" w:type="dxa"/>
            <w:right w:w="108" w:type="dxa"/>
          </w:tblCellMar>
        </w:tblPrEx>
        <w:trPr>
          <w:cantSplit/>
          <w:tblHeader/>
        </w:trPr>
        <w:tc>
          <w:tcPr>
            <w:tcW w:w="16380" w:type="dxa"/>
            <w:gridSpan w:val="4"/>
            <w:noWrap w:val="0"/>
            <w:tcMar>
              <w:top w:w="20" w:type="dxa"/>
              <w:left w:w="108" w:type="dxa"/>
              <w:bottom w:w="20" w:type="dxa"/>
              <w:right w:w="108" w:type="dxa"/>
            </w:tcMar>
            <w:vAlign w:val="center"/>
          </w:tcPr>
          <w:p w14:paraId="609CE66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收入支出决算总表</w:t>
            </w:r>
          </w:p>
        </w:tc>
      </w:tr>
      <w:tr w14:paraId="4B950F67">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5160C23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CBF2E0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7DCFA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公开01表</w:t>
            </w:r>
          </w:p>
        </w:tc>
      </w:tr>
      <w:tr w14:paraId="74AF6DE0">
        <w:tblPrEx>
          <w:tblCellMar>
            <w:top w:w="0" w:type="dxa"/>
            <w:left w:w="108" w:type="dxa"/>
            <w:bottom w:w="0" w:type="dxa"/>
            <w:right w:w="108" w:type="dxa"/>
          </w:tblCellMar>
        </w:tblPrEx>
        <w:trPr>
          <w:cantSplit/>
          <w:tblHeader/>
        </w:trPr>
        <w:tc>
          <w:tcPr>
            <w:tcW w:w="21600" w:type="dxa"/>
            <w:gridSpan w:val="3"/>
            <w:noWrap w:val="0"/>
            <w:tcMar>
              <w:top w:w="20" w:type="dxa"/>
              <w:left w:w="108" w:type="dxa"/>
              <w:bottom w:w="20" w:type="dxa"/>
              <w:right w:w="108" w:type="dxa"/>
            </w:tcMar>
            <w:vAlign w:val="center"/>
          </w:tcPr>
          <w:p w14:paraId="74E418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编制单位：莆田市木兰溪干部教育培训中心</w:t>
            </w:r>
          </w:p>
        </w:tc>
        <w:tc>
          <w:tcPr>
            <w:tcW w:w="21600" w:type="dxa"/>
            <w:noWrap w:val="0"/>
            <w:tcMar>
              <w:top w:w="20" w:type="dxa"/>
              <w:left w:w="108" w:type="dxa"/>
              <w:bottom w:w="20" w:type="dxa"/>
              <w:right w:w="108" w:type="dxa"/>
            </w:tcMar>
            <w:vAlign w:val="center"/>
          </w:tcPr>
          <w:p w14:paraId="6E3B71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32F2E65">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89DD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B7E97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7ADD0566">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5AD8A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24B2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0B385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项目(按支出功能分类)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5DAD2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2FF4F3F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66FFC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06DD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8114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41AE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FFC07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9D94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11E0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5E41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二、外交支出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28E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F9EB19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0EC7C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E2B5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613FA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1E4E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5CB4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307D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四、上级补助收入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76F6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67B7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BA2A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11781E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3F3FA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五、事业收入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AC2A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21F5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511B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r>
      <w:tr w14:paraId="162CB81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0D2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六、经营收入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2F44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8A15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0E04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3F976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033E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七、附属单位上缴收入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17B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1BD53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40E7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C9A3D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50B9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八、其他收入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C15A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BD86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8C58A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6.72</w:t>
            </w:r>
          </w:p>
        </w:tc>
      </w:tr>
      <w:tr w14:paraId="0FB73EC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B2F28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95C81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C430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82ADE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r>
      <w:tr w14:paraId="2D3D4ED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234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1E8A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684C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13D4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1C9E6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3226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7164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3312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72AE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7202B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0A98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0600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5BE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263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4B04B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82C8C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006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70E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7D79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00819F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F723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E41B7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07FB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482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A4DCC5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B3BB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BC33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FD7D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18B5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929C0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31F9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32B6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2DEC6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08FB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62D034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AC80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628F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71B2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E448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EAFE8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1900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AABD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25A81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DD0CD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087CE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8686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65E3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693D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901E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r>
      <w:tr w14:paraId="6D675BA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4FBD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E0BA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8BB7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9867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3519D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7DA0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2785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0D3C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173A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08312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F03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C5D2E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9E84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CA55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BA316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1E0F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B6CC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B5E9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5379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2BDA9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D388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C5A3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D779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323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E495F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FEEE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C74D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2D3D1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4C51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BCB7D3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183F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3744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B7523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77E3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056DCD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2DF5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BC10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4CF7B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A9E7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r>
      <w:tr w14:paraId="17BD5CA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284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使用非财政拨款结余（含专用结余）</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B51C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875D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结余分配</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8F8E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CDE313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B16C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491A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D44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671CA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729AD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1B8E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11805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9C72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896DA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250D005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1819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467D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5F55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总计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2234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r>
      <w:tr w14:paraId="32A4B1DC">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7D3FDB1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注：1.本表反映单位本年度的总收支和年末结转结余情况。</w:t>
            </w:r>
          </w:p>
        </w:tc>
      </w:tr>
      <w:tr w14:paraId="67534E6E">
        <w:tblPrEx>
          <w:tblCellMar>
            <w:top w:w="0" w:type="dxa"/>
            <w:left w:w="108" w:type="dxa"/>
            <w:bottom w:w="0" w:type="dxa"/>
            <w:right w:w="108" w:type="dxa"/>
          </w:tblCellMar>
        </w:tblPrEx>
        <w:trPr>
          <w:cantSplit/>
        </w:trPr>
        <w:tc>
          <w:tcPr>
            <w:tcW w:w="16380" w:type="dxa"/>
            <w:gridSpan w:val="4"/>
            <w:noWrap w:val="0"/>
            <w:tcMar>
              <w:top w:w="20" w:type="dxa"/>
              <w:left w:w="108" w:type="dxa"/>
              <w:bottom w:w="20" w:type="dxa"/>
              <w:right w:w="108" w:type="dxa"/>
            </w:tcMar>
            <w:vAlign w:val="center"/>
          </w:tcPr>
          <w:p w14:paraId="710EBB6F">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2.本套报表金额单位转换时可能存在尾数误差。</w:t>
            </w:r>
          </w:p>
        </w:tc>
      </w:tr>
    </w:tbl>
    <w:p w14:paraId="6CE0F1B9">
      <w:pPr>
        <w:sectPr>
          <w:footerReference r:id="rId8" w:type="default"/>
          <w:pgSz w:w="16383" w:h="11906" w:orient="landscape"/>
          <w:pgMar w:top="1134" w:right="720" w:bottom="1134" w:left="720" w:header="720" w:footer="720" w:gutter="0"/>
          <w:cols w:space="720" w:num="1"/>
        </w:sectPr>
      </w:pPr>
    </w:p>
    <w:p w14:paraId="26036CD7">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0E152AED">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37" w:name="_Toc256000081"/>
      <w:bookmarkStart w:id="38" w:name="_Toc256000056"/>
      <w:bookmarkStart w:id="39" w:name="_Toc256000031"/>
      <w:bookmarkStart w:id="40" w:name="_Toc256000106"/>
      <w:bookmarkStart w:id="41" w:name="_Toc256000006"/>
      <w:bookmarkStart w:id="42" w:name="_Toc256000131"/>
      <w:r>
        <w:rPr>
          <w:rFonts w:ascii="黑体" w:hAnsi="黑体" w:eastAsia="黑体" w:cs="黑体"/>
          <w:b w:val="0"/>
          <w:bCs w:val="0"/>
          <w:spacing w:val="0"/>
        </w:rPr>
        <w:t>二、收入决算表</w:t>
      </w:r>
      <w:bookmarkEnd w:id="37"/>
      <w:bookmarkEnd w:id="38"/>
      <w:bookmarkEnd w:id="39"/>
      <w:bookmarkEnd w:id="40"/>
      <w:bookmarkEnd w:id="41"/>
      <w:bookmarkEnd w:id="42"/>
    </w:p>
    <w:p w14:paraId="04DA9FA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gk02</w:t>
      </w:r>
    </w:p>
    <w:tbl>
      <w:tblPr>
        <w:tblStyle w:val="19"/>
        <w:tblW w:w="5000" w:type="pct"/>
        <w:tblInd w:w="20" w:type="dxa"/>
        <w:tblLayout w:type="fixed"/>
        <w:tblCellMar>
          <w:top w:w="0" w:type="dxa"/>
          <w:left w:w="108" w:type="dxa"/>
          <w:bottom w:w="0" w:type="dxa"/>
          <w:right w:w="108" w:type="dxa"/>
        </w:tblCellMar>
      </w:tblPr>
      <w:tblGrid>
        <w:gridCol w:w="578"/>
        <w:gridCol w:w="578"/>
        <w:gridCol w:w="578"/>
        <w:gridCol w:w="1679"/>
        <w:gridCol w:w="1678"/>
        <w:gridCol w:w="1678"/>
        <w:gridCol w:w="1678"/>
        <w:gridCol w:w="1678"/>
        <w:gridCol w:w="1678"/>
        <w:gridCol w:w="1678"/>
        <w:gridCol w:w="1678"/>
      </w:tblGrid>
      <w:tr w14:paraId="279D34BA">
        <w:tblPrEx>
          <w:tblCellMar>
            <w:top w:w="0" w:type="dxa"/>
            <w:left w:w="108" w:type="dxa"/>
            <w:bottom w:w="0" w:type="dxa"/>
            <w:right w:w="108" w:type="dxa"/>
          </w:tblCellMar>
        </w:tblPrEx>
        <w:trPr>
          <w:cantSplit/>
          <w:tblHeader/>
        </w:trPr>
        <w:tc>
          <w:tcPr>
            <w:tcW w:w="14578" w:type="dxa"/>
            <w:gridSpan w:val="11"/>
            <w:noWrap w:val="0"/>
            <w:tcMar>
              <w:top w:w="20" w:type="dxa"/>
              <w:left w:w="108" w:type="dxa"/>
              <w:bottom w:w="20" w:type="dxa"/>
              <w:right w:w="108" w:type="dxa"/>
            </w:tcMar>
            <w:vAlign w:val="center"/>
          </w:tcPr>
          <w:p w14:paraId="7554B4C6">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收入决算表</w:t>
            </w:r>
          </w:p>
        </w:tc>
      </w:tr>
      <w:tr w14:paraId="2BEFA780">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71E34AC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53A04B9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C2FC22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0C8799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A73CD7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61BCA4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383437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D7C98D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493EB7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42555A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公开02表</w:t>
            </w:r>
          </w:p>
        </w:tc>
      </w:tr>
      <w:tr w14:paraId="7CD37CDD">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46E7EA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编制单位：莆田市木兰溪干部教育培训中心</w:t>
            </w:r>
          </w:p>
        </w:tc>
        <w:tc>
          <w:tcPr>
            <w:tcW w:w="21600" w:type="dxa"/>
            <w:noWrap w:val="0"/>
            <w:tcMar>
              <w:top w:w="20" w:type="dxa"/>
              <w:left w:w="108" w:type="dxa"/>
              <w:bottom w:w="20" w:type="dxa"/>
              <w:right w:w="108" w:type="dxa"/>
            </w:tcMar>
            <w:vAlign w:val="bottom"/>
          </w:tcPr>
          <w:p w14:paraId="055E9B5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42E3E3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D60955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660957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7E4576C">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E63DA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3DE6C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7B71E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财政拨款收入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0C2F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上级补助收入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94C9D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4635A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EE2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附属单位上缴收入</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0ED3A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其他收入</w:t>
            </w:r>
          </w:p>
        </w:tc>
      </w:tr>
      <w:tr w14:paraId="341767B9">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61AA0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E33EE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606F46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B239DA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09E671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B43878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4821AE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CC4AB6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1A7B666">
            <w:pPr>
              <w:rPr>
                <w:rFonts w:ascii="Times New Roman" w:hAnsi="Times New Roman" w:eastAsia="Times New Roman" w:cs="Times New Roman"/>
                <w:b w:val="0"/>
                <w:bCs w:val="0"/>
                <w:i w:val="0"/>
                <w:iCs w:val="0"/>
                <w:smallCaps w:val="0"/>
                <w:color w:val="000000"/>
                <w:kern w:val="0"/>
                <w:sz w:val="26"/>
                <w:szCs w:val="26"/>
              </w:rPr>
            </w:pPr>
          </w:p>
        </w:tc>
      </w:tr>
      <w:tr w14:paraId="4DA49A7A">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DC6EA8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459828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58AFBAC">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5DF103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E64F44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ACC074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84F3D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A9651B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ECC27C">
            <w:pPr>
              <w:rPr>
                <w:rFonts w:ascii="Times New Roman" w:hAnsi="Times New Roman" w:eastAsia="Times New Roman" w:cs="Times New Roman"/>
                <w:b w:val="0"/>
                <w:bCs w:val="0"/>
                <w:i w:val="0"/>
                <w:iCs w:val="0"/>
                <w:smallCaps w:val="0"/>
                <w:color w:val="000000"/>
                <w:kern w:val="0"/>
                <w:sz w:val="26"/>
                <w:szCs w:val="26"/>
              </w:rPr>
            </w:pPr>
          </w:p>
        </w:tc>
      </w:tr>
      <w:tr w14:paraId="7DC876B5">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F24C5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FA22C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2A91A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8B8F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8BC9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8A11E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FE31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006A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7811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8E17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2F09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49C30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6DBB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F89B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9DB5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8D4D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3035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975C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578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931F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9ECC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A2B640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4B148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FB34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进修及培训</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78A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C05F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08CC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9C3E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9BAE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6C14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7FAEB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D5AC1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EF8D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A7C0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干部教育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9039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4E94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A9F90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DC4C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4B9E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9129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35609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97B3FF">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2210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CD0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03B5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8D13D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CD0E8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DC02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394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FD4B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416A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D255C7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CC5E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82DFC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49ED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9B4F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1416A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FC5C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913B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8A8C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B8F2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865676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C05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D78B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7C685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D72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442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50F90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8935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9180D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6350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3971B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1D0B8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ACF7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C2C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7781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8573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681C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FC42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9EF0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7D33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45B03C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2A727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E00C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A481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8956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5BC2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04E3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971D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03E7A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4C9F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3C369B">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414E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8B6E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C7F9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486B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DD66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71C0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3EFC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FE6E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8644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A2412AD">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060B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D3B7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4E7B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950C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AD9BF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519B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A343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5E49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7BB2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9CFB8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B89F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0A2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B178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2415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C81FF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18A4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DB82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E46D2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D9D7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3C90323">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5DA1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79F3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4C4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1337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D943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6212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23BE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722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B16B3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5D3EF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FDDF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C78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7253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C6C7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557D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4BC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92A21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D04F1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DD7C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52F48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57A1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C2FD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19DA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296EB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C0C7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2CCD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D5A3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F6D5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51C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0DF8C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2A06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4F9D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A3F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FEF6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16C2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6C23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59D5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6D37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B2A23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289E43D">
        <w:tblPrEx>
          <w:tblCellMar>
            <w:top w:w="0" w:type="dxa"/>
            <w:left w:w="108" w:type="dxa"/>
            <w:bottom w:w="0" w:type="dxa"/>
            <w:right w:w="108" w:type="dxa"/>
          </w:tblCellMar>
        </w:tblPrEx>
        <w:trPr>
          <w:cantSplit/>
        </w:trPr>
        <w:tc>
          <w:tcPr>
            <w:tcW w:w="14578" w:type="dxa"/>
            <w:gridSpan w:val="11"/>
            <w:noWrap w:val="0"/>
            <w:tcMar>
              <w:top w:w="20" w:type="dxa"/>
              <w:left w:w="108" w:type="dxa"/>
              <w:bottom w:w="20" w:type="dxa"/>
              <w:right w:w="108" w:type="dxa"/>
            </w:tcMar>
            <w:vAlign w:val="center"/>
          </w:tcPr>
          <w:p w14:paraId="4C2266B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注：本表反映单位本年度取得的各项收入情况。</w:t>
            </w:r>
          </w:p>
        </w:tc>
      </w:tr>
    </w:tbl>
    <w:p w14:paraId="564C7BC9">
      <w:pPr>
        <w:sectPr>
          <w:footerReference r:id="rId9" w:type="default"/>
          <w:pgSz w:w="16383" w:h="11906" w:orient="landscape"/>
          <w:pgMar w:top="1134" w:right="720" w:bottom="1134" w:left="720" w:header="720" w:footer="720" w:gutter="0"/>
          <w:cols w:space="720" w:num="1"/>
        </w:sectPr>
      </w:pPr>
    </w:p>
    <w:p w14:paraId="152CD54F">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32"/>
          <w:szCs w:val="32"/>
        </w:rPr>
        <w:t> </w:t>
      </w:r>
    </w:p>
    <w:p w14:paraId="5A995939">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3" w:name="_Toc256000107"/>
      <w:bookmarkStart w:id="44" w:name="_Toc256000082"/>
      <w:bookmarkStart w:id="45" w:name="_Toc256000007"/>
      <w:bookmarkStart w:id="46" w:name="_Toc256000057"/>
      <w:bookmarkStart w:id="47" w:name="_Toc256000032"/>
      <w:bookmarkStart w:id="48" w:name="_Toc256000132"/>
      <w:r>
        <w:rPr>
          <w:rFonts w:ascii="黑体" w:hAnsi="黑体" w:eastAsia="黑体" w:cs="黑体"/>
          <w:b w:val="0"/>
          <w:bCs w:val="0"/>
          <w:spacing w:val="0"/>
        </w:rPr>
        <w:t>三、支出决算表</w:t>
      </w:r>
      <w:bookmarkEnd w:id="43"/>
      <w:bookmarkEnd w:id="44"/>
      <w:bookmarkEnd w:id="45"/>
      <w:bookmarkEnd w:id="46"/>
      <w:bookmarkEnd w:id="47"/>
      <w:bookmarkEnd w:id="48"/>
    </w:p>
    <w:p w14:paraId="2E34A25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gk03</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4FBF5B32">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7DCD7677">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支出决算表</w:t>
            </w:r>
          </w:p>
        </w:tc>
      </w:tr>
      <w:tr w14:paraId="4F08C818">
        <w:tblPrEx>
          <w:tblCellMar>
            <w:top w:w="0" w:type="dxa"/>
            <w:left w:w="108" w:type="dxa"/>
            <w:bottom w:w="0" w:type="dxa"/>
            <w:right w:w="108" w:type="dxa"/>
          </w:tblCellMar>
        </w:tblPrEx>
        <w:trPr>
          <w:cantSplit/>
          <w:tblHeader/>
        </w:trPr>
        <w:tc>
          <w:tcPr>
            <w:tcW w:w="5280" w:type="dxa"/>
            <w:gridSpan w:val="4"/>
            <w:noWrap w:val="0"/>
            <w:tcMar>
              <w:top w:w="20" w:type="dxa"/>
              <w:left w:w="108" w:type="dxa"/>
              <w:bottom w:w="20" w:type="dxa"/>
              <w:right w:w="108" w:type="dxa"/>
            </w:tcMar>
            <w:vAlign w:val="bottom"/>
          </w:tcPr>
          <w:p w14:paraId="01F7A56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7EFC13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FA9FCB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41E9DE4">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9CBDB72">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5A835C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公开03表</w:t>
            </w:r>
          </w:p>
        </w:tc>
      </w:tr>
      <w:tr w14:paraId="3EC84D83">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4A2453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编制单位：莆田市木兰溪干部教育培训中心</w:t>
            </w:r>
          </w:p>
        </w:tc>
        <w:tc>
          <w:tcPr>
            <w:tcW w:w="21600" w:type="dxa"/>
            <w:noWrap w:val="0"/>
            <w:tcMar>
              <w:top w:w="20" w:type="dxa"/>
              <w:left w:w="108" w:type="dxa"/>
              <w:bottom w:w="20" w:type="dxa"/>
              <w:right w:w="108" w:type="dxa"/>
            </w:tcMar>
            <w:vAlign w:val="bottom"/>
          </w:tcPr>
          <w:p w14:paraId="5C6AD9B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44831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7EEDCEEF">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C48D6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3AB2B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60AE5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BECC3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4064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上缴上级支出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35604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经营支出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E6707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对附属单位补助支出</w:t>
            </w:r>
          </w:p>
        </w:tc>
      </w:tr>
      <w:tr w14:paraId="785E919E">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C5E77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268A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C6EC05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634441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B8430C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D152E3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1DA48E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BB90C0C">
            <w:pPr>
              <w:rPr>
                <w:rFonts w:ascii="Times New Roman" w:hAnsi="Times New Roman" w:eastAsia="Times New Roman" w:cs="Times New Roman"/>
                <w:b w:val="0"/>
                <w:bCs w:val="0"/>
                <w:i w:val="0"/>
                <w:iCs w:val="0"/>
                <w:smallCaps w:val="0"/>
                <w:color w:val="000000"/>
                <w:kern w:val="0"/>
                <w:sz w:val="26"/>
                <w:szCs w:val="26"/>
              </w:rPr>
            </w:pPr>
          </w:p>
        </w:tc>
      </w:tr>
      <w:tr w14:paraId="1FED7F33">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5F19A4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9245B2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88F478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C68F55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17F44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A0618D2">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EED721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7D8EA95">
            <w:pPr>
              <w:rPr>
                <w:rFonts w:ascii="Times New Roman" w:hAnsi="Times New Roman" w:eastAsia="Times New Roman" w:cs="Times New Roman"/>
                <w:b w:val="0"/>
                <w:bCs w:val="0"/>
                <w:i w:val="0"/>
                <w:iCs w:val="0"/>
                <w:smallCaps w:val="0"/>
                <w:color w:val="000000"/>
                <w:kern w:val="0"/>
                <w:sz w:val="26"/>
                <w:szCs w:val="26"/>
              </w:rPr>
            </w:pPr>
          </w:p>
        </w:tc>
      </w:tr>
      <w:tr w14:paraId="4026F651">
        <w:tblPrEx>
          <w:tblCellMar>
            <w:top w:w="0" w:type="dxa"/>
            <w:left w:w="108" w:type="dxa"/>
            <w:bottom w:w="0" w:type="dxa"/>
            <w:right w:w="108" w:type="dxa"/>
          </w:tblCellMar>
        </w:tblPrEx>
        <w:trPr>
          <w:cantSplit/>
          <w:tblHeader/>
        </w:trPr>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89278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BD208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8E70F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001F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0DED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316D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685E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2B95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3BA6B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5803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77514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746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A605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1FC1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28D9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A9075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F238C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F9E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D524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1F5D4A">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FA11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98CD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进修及培训</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1793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DC9E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487C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101F5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8D16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9A29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F165CB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036A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007A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干部教育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6653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555F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AB32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2DE8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5018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FF4A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C64ED5">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BB2D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26F1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72E0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2B06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315E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E78E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89B6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6D17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0CA5E1">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E72D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50DB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C70F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003BC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029B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F511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85FB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3E91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0838D0">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F5EB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2CBA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E0DE6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87FB1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DB2A7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FB727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C09E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6EA50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C176292">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82704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D37F7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89A2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2C97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BC94B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FF9A1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1B9A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DBCF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A28356">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7482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B707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C7E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69FB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07B5D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62912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8339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DFFF4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B2ED3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58A6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307CE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76213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A3A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912C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400D0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2400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571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97F787">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6E3F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E02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94C3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EDD8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19D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BD73A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B6888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CDA9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97B8CA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E32A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2D9F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0755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72FAC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2536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428A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43D43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1F31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704982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2C331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5B79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2D0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D0BF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BAC26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A879E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DCCB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F995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A508D9">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26FC7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145C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13D2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6E68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FE38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3A9B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51EF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B485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A40DFC">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E8D4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D15DF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612C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5314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A5828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8EAF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9963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260C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7C23A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0AD6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4E4B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424C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2B0B2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6364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43A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B659F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9660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0C491B">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20C5E45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注：本表反映单位本年度各项支出情况。</w:t>
            </w:r>
          </w:p>
        </w:tc>
      </w:tr>
    </w:tbl>
    <w:p w14:paraId="4335378E">
      <w:pPr>
        <w:sectPr>
          <w:footerReference r:id="rId10" w:type="default"/>
          <w:pgSz w:w="16383" w:h="11906" w:orient="landscape"/>
          <w:pgMar w:top="1134" w:right="720" w:bottom="1134" w:left="720" w:header="720" w:footer="720" w:gutter="0"/>
          <w:cols w:space="720" w:num="1"/>
        </w:sectPr>
      </w:pPr>
    </w:p>
    <w:p w14:paraId="020BC383">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69A3F139">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49" w:name="_Toc256000008"/>
      <w:bookmarkStart w:id="50" w:name="_Toc256000108"/>
      <w:bookmarkStart w:id="51" w:name="_Toc256000133"/>
      <w:bookmarkStart w:id="52" w:name="_Toc256000083"/>
      <w:bookmarkStart w:id="53" w:name="_Toc256000033"/>
      <w:bookmarkStart w:id="54" w:name="_Toc256000058"/>
      <w:r>
        <w:rPr>
          <w:rFonts w:ascii="黑体" w:hAnsi="黑体" w:eastAsia="黑体" w:cs="黑体"/>
          <w:b w:val="0"/>
          <w:bCs w:val="0"/>
          <w:spacing w:val="0"/>
        </w:rPr>
        <w:t>四、财政拨款收入支出决算总表</w:t>
      </w:r>
      <w:bookmarkEnd w:id="49"/>
      <w:bookmarkEnd w:id="50"/>
      <w:bookmarkEnd w:id="51"/>
      <w:bookmarkEnd w:id="52"/>
      <w:bookmarkEnd w:id="53"/>
      <w:bookmarkEnd w:id="54"/>
    </w:p>
    <w:p w14:paraId="5964F6F1">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2165"/>
        <w:gridCol w:w="2165"/>
        <w:gridCol w:w="2165"/>
        <w:gridCol w:w="2166"/>
        <w:gridCol w:w="2166"/>
        <w:gridCol w:w="2166"/>
        <w:gridCol w:w="2166"/>
      </w:tblGrid>
      <w:tr w14:paraId="325C50B8">
        <w:tblPrEx>
          <w:tblCellMar>
            <w:top w:w="0" w:type="dxa"/>
            <w:left w:w="108" w:type="dxa"/>
            <w:bottom w:w="0" w:type="dxa"/>
            <w:right w:w="108" w:type="dxa"/>
          </w:tblCellMar>
        </w:tblPrEx>
        <w:trPr>
          <w:cantSplit/>
          <w:tblHeader/>
        </w:trPr>
        <w:tc>
          <w:tcPr>
            <w:tcW w:w="16381" w:type="dxa"/>
            <w:gridSpan w:val="7"/>
            <w:noWrap w:val="0"/>
            <w:tcMar>
              <w:top w:w="20" w:type="dxa"/>
              <w:left w:w="108" w:type="dxa"/>
              <w:bottom w:w="20" w:type="dxa"/>
              <w:right w:w="108" w:type="dxa"/>
            </w:tcMar>
            <w:vAlign w:val="center"/>
          </w:tcPr>
          <w:p w14:paraId="70A19E92">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财政拨款收入支出决算总表</w:t>
            </w:r>
          </w:p>
        </w:tc>
      </w:tr>
      <w:tr w14:paraId="34DC2A3A">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280F4B7D">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191D41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7689F4A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公开04表</w:t>
            </w:r>
          </w:p>
        </w:tc>
      </w:tr>
      <w:tr w14:paraId="612A3F7D">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7ED308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编制单位：莆田市木兰溪干部教育培训中心</w:t>
            </w:r>
          </w:p>
        </w:tc>
        <w:tc>
          <w:tcPr>
            <w:tcW w:w="21600" w:type="dxa"/>
            <w:noWrap w:val="0"/>
            <w:tcMar>
              <w:top w:w="20" w:type="dxa"/>
              <w:left w:w="108" w:type="dxa"/>
              <w:bottom w:w="20" w:type="dxa"/>
              <w:right w:w="108" w:type="dxa"/>
            </w:tcMar>
            <w:vAlign w:val="bottom"/>
          </w:tcPr>
          <w:p w14:paraId="568D7ECE">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76342A1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57BBD9B4">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1AD5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收入</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4E743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w:t>
            </w:r>
          </w:p>
        </w:tc>
      </w:tr>
      <w:tr w14:paraId="6F0C881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D580F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项目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D774F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08552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项目（按功能分类）</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45DCD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9349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4BF22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B3880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国有资本经营预算财政拨款</w:t>
            </w:r>
          </w:p>
        </w:tc>
      </w:tr>
      <w:tr w14:paraId="21996C5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82C63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一、一般公共预算财政拨款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3893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86EE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D8BE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826DC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43BF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5E01D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4498F6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BC73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959E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0B7A7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二、外交支出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330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07FD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26F2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254A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A3787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1F5A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1800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8553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F542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996C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A9ED4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E3263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612BEC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BA41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5C0E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FD856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四、公共安全支出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E1AD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8999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E50C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7536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11B88A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BC6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98AE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B5C4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五、教育支出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11B59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1F334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8319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3B72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7A5198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39136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354C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443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六、科学技术支出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2A2B1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1A83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0C182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5765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6C6BF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5A8E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D1F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1F03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七、文化旅游体育与传媒支出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9E3C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970EE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A95D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AD7B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1F266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C456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FA23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9C4D9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八、社会保障和就业支出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74E3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A146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78C5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7062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A6F53C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5C051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F0A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6F698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九、卫生健康支出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BB8F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E2BA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E147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98E2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DEC64F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FF0A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4CB14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2BDA8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十、节能环保支出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ADD2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9A2F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08AA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DDD9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E82BC9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2D3E6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19E85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C340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十一、城乡社区支出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E686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0C564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4E3B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EED52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EC31D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66A8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F693C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7BC9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十二、农林水支出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BE96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A26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93A0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C476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6E083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BA53F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960E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29E9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十三、交通运输支出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E30A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AB2A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7A548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5B01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80B2C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27E88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EA96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CC7D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十四、资源勘探工业信息等支出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BAC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DFCFC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C0DDC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7D44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DE1478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3107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026D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2E58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十五、商业服务业等支出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0BC3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65A1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08B0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BBFF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5C3A3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30FA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253B2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73CDD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十六、金融支出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0312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6779E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78740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D0FC5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33F21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BC52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B6911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672E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十七、援助其他地区支出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D0DE7E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6DAD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2DA9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597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6B6436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C9E6F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96100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C8562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十八、自然资源海洋气象等支出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8ADC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1007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223A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3090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666F0C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8CEE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C58E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E223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十九、住房保障支出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8A56C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4716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BB29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27CFD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D0C975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48F4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DE0A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80269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二十、粮油物资储备支出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80287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4BF3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2123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7C07D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248AC6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EB4C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7314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77FDF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二十一、国有资本经营预算支出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D0479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3D65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5F99E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EAF4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F2A1F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BC48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7C971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977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二十二、灾害防治及应急管理支出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FD3A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9CCC0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1CE0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4D918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D0471B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11EA5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EDB1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AA94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二十三、其他支出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05ED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05457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95D5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7702C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534D3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3A0F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BC037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CDA9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二十四、债务还本支出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4180D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26083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0A2D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F8A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07EC90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42506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ED34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B731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二十五、债务付息支出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E0A93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CF53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092E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6618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FC5EAD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024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D5832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9638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二十六、抗疫特别国债安排的支出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30EE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3ABAC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159FF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4B7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B0302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B4B75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A57D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812E8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74DA7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52F4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9756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9B93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22EC94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F9AA9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054B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89AB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年末财政拨款结转和结余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1D854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81135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C3892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FA470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950DB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C283E6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一、一般公共预算财政拨款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66D14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340F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11BDD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D80F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4B58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5660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9CA356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0707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二、政府性基金预算财政拨款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25CD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2ABDA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03AB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FE81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E1EA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C9799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6EBCD773">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FF85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三、国有资本经营预算财政拨款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D6F2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E6BF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6ADA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CF0D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C21F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170C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452A5DD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7FD27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9A4E6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87951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总计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6B254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7FA9E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9F8A9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BAB8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04FDA98">
        <w:tblPrEx>
          <w:tblCellMar>
            <w:top w:w="0" w:type="dxa"/>
            <w:left w:w="108" w:type="dxa"/>
            <w:bottom w:w="0" w:type="dxa"/>
            <w:right w:w="108" w:type="dxa"/>
          </w:tblCellMar>
        </w:tblPrEx>
        <w:trPr>
          <w:cantSplit/>
        </w:trPr>
        <w:tc>
          <w:tcPr>
            <w:tcW w:w="16381" w:type="dxa"/>
            <w:gridSpan w:val="7"/>
            <w:noWrap w:val="0"/>
            <w:tcMar>
              <w:top w:w="20" w:type="dxa"/>
              <w:left w:w="108" w:type="dxa"/>
              <w:bottom w:w="20" w:type="dxa"/>
              <w:right w:w="108" w:type="dxa"/>
            </w:tcMar>
            <w:vAlign w:val="center"/>
          </w:tcPr>
          <w:p w14:paraId="08DA2955">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注：本表反映单位本年度一般公共预算财政拨款、政府性基金预算财政拨款和国有资本经营预算财政拨款的总收支和年末结转结余情况。</w:t>
            </w:r>
          </w:p>
        </w:tc>
      </w:tr>
    </w:tbl>
    <w:p w14:paraId="4E30D78E">
      <w:pPr>
        <w:sectPr>
          <w:footerReference r:id="rId11" w:type="default"/>
          <w:pgSz w:w="16383" w:h="11906" w:orient="landscape"/>
          <w:pgMar w:top="1134" w:right="720" w:bottom="1134" w:left="720" w:header="720" w:footer="720" w:gutter="0"/>
          <w:cols w:space="720" w:num="1"/>
        </w:sectPr>
      </w:pPr>
    </w:p>
    <w:p w14:paraId="0CC63162">
      <w:pPr>
        <w:pStyle w:val="29"/>
        <w:widowControl/>
        <w:spacing w:before="100" w:after="100"/>
        <w:ind w:left="100" w:right="100" w:firstLine="0"/>
        <w:jc w:val="left"/>
        <w:rPr>
          <w:rFonts w:ascii="Times New Roman" w:hAnsi="Times New Roman" w:eastAsia="Times New Roman" w:cs="Times New Roman"/>
          <w:kern w:val="0"/>
          <w:sz w:val="24"/>
        </w:rPr>
      </w:pPr>
      <w:r>
        <w:rPr>
          <w:rFonts w:ascii="Times New Roman" w:hAnsi="Times New Roman" w:eastAsia="Times New Roman" w:cs="Times New Roman"/>
          <w:spacing w:val="0"/>
          <w:kern w:val="0"/>
          <w:sz w:val="27"/>
          <w:szCs w:val="27"/>
        </w:rPr>
        <w:t> </w:t>
      </w:r>
    </w:p>
    <w:p w14:paraId="7A8F16FB">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55" w:name="_Toc256000059"/>
      <w:bookmarkStart w:id="56" w:name="_Toc256000009"/>
      <w:bookmarkStart w:id="57" w:name="_Toc256000084"/>
      <w:bookmarkStart w:id="58" w:name="_Toc256000109"/>
      <w:bookmarkStart w:id="59" w:name="_Toc256000134"/>
      <w:bookmarkStart w:id="60" w:name="_Toc256000034"/>
      <w:r>
        <w:rPr>
          <w:rFonts w:ascii="黑体" w:hAnsi="黑体" w:eastAsia="黑体" w:cs="黑体"/>
          <w:b w:val="0"/>
          <w:bCs w:val="0"/>
          <w:spacing w:val="0"/>
        </w:rPr>
        <w:t>五、一般公共预算财政拨款支出决算表</w:t>
      </w:r>
      <w:bookmarkEnd w:id="55"/>
      <w:bookmarkEnd w:id="56"/>
      <w:bookmarkEnd w:id="57"/>
      <w:bookmarkEnd w:id="58"/>
      <w:bookmarkEnd w:id="59"/>
      <w:bookmarkEnd w:id="60"/>
    </w:p>
    <w:p w14:paraId="16A3F59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gk05</w:t>
      </w:r>
    </w:p>
    <w:tbl>
      <w:tblPr>
        <w:tblStyle w:val="19"/>
        <w:tblW w:w="5000" w:type="pct"/>
        <w:tblInd w:w="20" w:type="dxa"/>
        <w:tblLayout w:type="fixed"/>
        <w:tblCellMar>
          <w:top w:w="0" w:type="dxa"/>
          <w:left w:w="108" w:type="dxa"/>
          <w:bottom w:w="0" w:type="dxa"/>
          <w:right w:w="108" w:type="dxa"/>
        </w:tblCellMar>
      </w:tblPr>
      <w:tblGrid>
        <w:gridCol w:w="1740"/>
        <w:gridCol w:w="3354"/>
        <w:gridCol w:w="3355"/>
        <w:gridCol w:w="3355"/>
        <w:gridCol w:w="3355"/>
      </w:tblGrid>
      <w:tr w14:paraId="250FA0EC">
        <w:tblPrEx>
          <w:tblCellMar>
            <w:top w:w="0" w:type="dxa"/>
            <w:left w:w="108" w:type="dxa"/>
            <w:bottom w:w="0" w:type="dxa"/>
            <w:right w:w="108" w:type="dxa"/>
          </w:tblCellMar>
        </w:tblPrEx>
        <w:trPr>
          <w:cantSplit/>
          <w:tblHeader/>
        </w:trPr>
        <w:tc>
          <w:tcPr>
            <w:tcW w:w="16379" w:type="dxa"/>
            <w:gridSpan w:val="5"/>
            <w:noWrap w:val="0"/>
            <w:tcMar>
              <w:top w:w="20" w:type="dxa"/>
              <w:left w:w="108" w:type="dxa"/>
              <w:bottom w:w="20" w:type="dxa"/>
              <w:right w:w="108" w:type="dxa"/>
            </w:tcMar>
            <w:vAlign w:val="center"/>
          </w:tcPr>
          <w:p w14:paraId="4259B900">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一般公共预算财政拨款支出决算表</w:t>
            </w:r>
          </w:p>
        </w:tc>
      </w:tr>
      <w:tr w14:paraId="78831B61">
        <w:tblPrEx>
          <w:tblCellMar>
            <w:top w:w="0" w:type="dxa"/>
            <w:left w:w="108" w:type="dxa"/>
            <w:bottom w:w="0" w:type="dxa"/>
            <w:right w:w="108" w:type="dxa"/>
          </w:tblCellMar>
        </w:tblPrEx>
        <w:trPr>
          <w:cantSplit/>
          <w:tblHeader/>
        </w:trPr>
        <w:tc>
          <w:tcPr>
            <w:tcW w:w="10530" w:type="dxa"/>
            <w:gridSpan w:val="2"/>
            <w:noWrap w:val="0"/>
            <w:tcMar>
              <w:top w:w="20" w:type="dxa"/>
              <w:left w:w="108" w:type="dxa"/>
              <w:bottom w:w="20" w:type="dxa"/>
              <w:right w:w="108" w:type="dxa"/>
            </w:tcMar>
            <w:vAlign w:val="bottom"/>
          </w:tcPr>
          <w:p w14:paraId="51DCE62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D63A0E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6A71B65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公开05表</w:t>
            </w:r>
          </w:p>
        </w:tc>
      </w:tr>
      <w:tr w14:paraId="2B245488">
        <w:tblPrEx>
          <w:tblCellMar>
            <w:top w:w="0" w:type="dxa"/>
            <w:left w:w="108" w:type="dxa"/>
            <w:bottom w:w="0" w:type="dxa"/>
            <w:right w:w="108" w:type="dxa"/>
          </w:tblCellMar>
        </w:tblPrEx>
        <w:trPr>
          <w:cantSplit/>
          <w:tblHeader/>
        </w:trPr>
        <w:tc>
          <w:tcPr>
            <w:tcW w:w="10530" w:type="dxa"/>
            <w:gridSpan w:val="3"/>
            <w:noWrap w:val="0"/>
            <w:tcMar>
              <w:top w:w="20" w:type="dxa"/>
              <w:left w:w="108" w:type="dxa"/>
              <w:bottom w:w="20" w:type="dxa"/>
              <w:right w:w="108" w:type="dxa"/>
            </w:tcMar>
            <w:vAlign w:val="center"/>
          </w:tcPr>
          <w:p w14:paraId="66399F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编制单位：莆田市木兰溪干部教育培训中心</w:t>
            </w:r>
          </w:p>
        </w:tc>
        <w:tc>
          <w:tcPr>
            <w:tcW w:w="21600" w:type="dxa"/>
            <w:gridSpan w:val="2"/>
            <w:noWrap w:val="0"/>
            <w:tcMar>
              <w:top w:w="20" w:type="dxa"/>
              <w:left w:w="108" w:type="dxa"/>
              <w:bottom w:w="20" w:type="dxa"/>
              <w:right w:w="108" w:type="dxa"/>
            </w:tcMar>
            <w:vAlign w:val="center"/>
          </w:tcPr>
          <w:p w14:paraId="026A77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2B1559D9">
        <w:tblPrEx>
          <w:tblCellMar>
            <w:top w:w="0" w:type="dxa"/>
            <w:left w:w="108" w:type="dxa"/>
            <w:bottom w:w="0" w:type="dxa"/>
            <w:right w:w="108" w:type="dxa"/>
          </w:tblCellMar>
        </w:tblPrEx>
        <w:trPr>
          <w:cantSplit/>
          <w:tblHeader/>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F1755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5CAF5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36AFBED3">
        <w:tblPrEx>
          <w:tblCellMar>
            <w:top w:w="0" w:type="dxa"/>
            <w:left w:w="108" w:type="dxa"/>
            <w:bottom w:w="0" w:type="dxa"/>
            <w:right w:w="108" w:type="dxa"/>
          </w:tblCellMar>
        </w:tblPrEx>
        <w:trPr>
          <w:cantSplit/>
          <w:tblHeader/>
        </w:trPr>
        <w:tc>
          <w:tcPr>
            <w:tcW w:w="1054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1672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8C11B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7BA8A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CFD86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3B8A7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277A9189">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4FD2EC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9C838E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1844545">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EA0BA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22A5A57">
            <w:pPr>
              <w:rPr>
                <w:rFonts w:ascii="Times New Roman" w:hAnsi="Times New Roman" w:eastAsia="Times New Roman" w:cs="Times New Roman"/>
                <w:b w:val="0"/>
                <w:bCs w:val="0"/>
                <w:i w:val="0"/>
                <w:iCs w:val="0"/>
                <w:smallCaps w:val="0"/>
                <w:color w:val="000000"/>
                <w:kern w:val="0"/>
                <w:sz w:val="26"/>
                <w:szCs w:val="26"/>
              </w:rPr>
            </w:pPr>
          </w:p>
        </w:tc>
      </w:tr>
      <w:tr w14:paraId="2A5049FF">
        <w:tblPrEx>
          <w:tblCellMar>
            <w:top w:w="0" w:type="dxa"/>
            <w:left w:w="108" w:type="dxa"/>
            <w:bottom w:w="0" w:type="dxa"/>
            <w:right w:w="108" w:type="dxa"/>
          </w:tblCellMar>
        </w:tblPrEx>
        <w:trPr>
          <w:cantSplit/>
        </w:trPr>
        <w:tc>
          <w:tcPr>
            <w:tcW w:w="10545"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297F7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BCF8DF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24A4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51.70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D8716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AA620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0B0DA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016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教育支出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7C4FB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F436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87FF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713D74B">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3E53B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90A8D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进修及培训</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7496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3AF7D4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C3317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49FA00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BE69D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2050802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B38C8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干部教育</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8F1FE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6E8FB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38.01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A2A63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B6A4DC7">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E9683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60B5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05D3F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391AD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6.72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CEBEA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BE9C47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7A30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005D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行政事业单位养老支出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AC782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A96FB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A9DE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9BF6511">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993A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2080505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CC772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299D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C23EF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198B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242320C">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EF207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A0227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D2BD1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12FF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CDD9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75892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21AC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2089999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E0646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其他社会保障和就业支出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CC6B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1999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08EC0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F34CD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52B2E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2871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卫生健康支出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9A38A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10464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D6C53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99A53CA">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DCEF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8525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行政事业单位医疗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C5DFB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6507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889D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F7704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2608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B51D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事业单位医疗</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E3E1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6DAB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F6F71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372197F">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7BB54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2101103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5C16B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17EC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F720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B34E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6ECC15">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7C99B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6225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住房保障支出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22CD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78012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3586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776BC72">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9DF7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8DE1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住房改革支出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97C72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840A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518F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F6FE3D">
        <w:tblPrEx>
          <w:tblCellMar>
            <w:top w:w="0" w:type="dxa"/>
            <w:left w:w="108" w:type="dxa"/>
            <w:bottom w:w="0" w:type="dxa"/>
            <w:right w:w="108" w:type="dxa"/>
          </w:tblCellMar>
        </w:tblPrEx>
        <w:trPr>
          <w:cantSplit/>
        </w:trPr>
        <w:tc>
          <w:tcPr>
            <w:tcW w:w="10545"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076C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2210201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24EF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7536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466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563E2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3E370C">
        <w:tblPrEx>
          <w:tblCellMar>
            <w:top w:w="0" w:type="dxa"/>
            <w:left w:w="108" w:type="dxa"/>
            <w:bottom w:w="0" w:type="dxa"/>
            <w:right w:w="108" w:type="dxa"/>
          </w:tblCellMar>
        </w:tblPrEx>
        <w:trPr>
          <w:cantSplit/>
        </w:trPr>
        <w:tc>
          <w:tcPr>
            <w:tcW w:w="16379" w:type="dxa"/>
            <w:gridSpan w:val="5"/>
            <w:noWrap w:val="0"/>
            <w:tcMar>
              <w:top w:w="20" w:type="dxa"/>
              <w:left w:w="108" w:type="dxa"/>
              <w:bottom w:w="20" w:type="dxa"/>
              <w:right w:w="108" w:type="dxa"/>
            </w:tcMar>
            <w:vAlign w:val="center"/>
          </w:tcPr>
          <w:p w14:paraId="04141F5E">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注：本表反映单位本年度一般公共预算财政拨款支出情况。</w:t>
            </w:r>
          </w:p>
        </w:tc>
      </w:tr>
    </w:tbl>
    <w:p w14:paraId="6BAA81DA">
      <w:pPr>
        <w:sectPr>
          <w:footerReference r:id="rId12" w:type="default"/>
          <w:pgSz w:w="16383" w:h="11906" w:orient="landscape"/>
          <w:pgMar w:top="1134" w:right="720" w:bottom="1134" w:left="720" w:header="720" w:footer="720" w:gutter="0"/>
          <w:cols w:space="720" w:num="1"/>
        </w:sectPr>
      </w:pPr>
    </w:p>
    <w:p w14:paraId="78ACB830">
      <w:pPr>
        <w:widowControl/>
        <w:jc w:val="left"/>
        <w:rPr>
          <w:rFonts w:ascii="宋体" w:hAnsi="宋体" w:cs="宋体"/>
          <w:spacing w:val="0"/>
          <w:kern w:val="0"/>
          <w:sz w:val="23"/>
          <w:szCs w:val="23"/>
        </w:rPr>
      </w:pPr>
      <w:r>
        <w:rPr>
          <w:rFonts w:ascii="宋体" w:hAnsi="宋体" w:cs="宋体"/>
          <w:spacing w:val="0"/>
          <w:kern w:val="0"/>
          <w:sz w:val="23"/>
          <w:szCs w:val="23"/>
        </w:rPr>
        <w:t> </w:t>
      </w:r>
    </w:p>
    <w:p w14:paraId="1588CAF9">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1" w:name="_Toc256000135"/>
      <w:bookmarkStart w:id="62" w:name="_Toc256000085"/>
      <w:bookmarkStart w:id="63" w:name="_Toc256000035"/>
      <w:bookmarkStart w:id="64" w:name="_Toc256000060"/>
      <w:bookmarkStart w:id="65" w:name="_Toc256000110"/>
      <w:bookmarkStart w:id="66" w:name="_Toc256000010"/>
      <w:r>
        <w:rPr>
          <w:rFonts w:ascii="黑体" w:hAnsi="黑体" w:eastAsia="黑体" w:cs="黑体"/>
          <w:b w:val="0"/>
          <w:bCs w:val="0"/>
          <w:spacing w:val="0"/>
        </w:rPr>
        <w:t>六、一般公共预算财政拨款基本支出决算表</w:t>
      </w:r>
      <w:bookmarkEnd w:id="61"/>
      <w:bookmarkEnd w:id="62"/>
      <w:bookmarkEnd w:id="63"/>
      <w:bookmarkEnd w:id="64"/>
      <w:bookmarkEnd w:id="65"/>
      <w:bookmarkEnd w:id="66"/>
    </w:p>
    <w:p w14:paraId="21967056">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1685"/>
        <w:gridCol w:w="1685"/>
        <w:gridCol w:w="1685"/>
        <w:gridCol w:w="1684"/>
        <w:gridCol w:w="1684"/>
        <w:gridCol w:w="1684"/>
        <w:gridCol w:w="1684"/>
        <w:gridCol w:w="1684"/>
        <w:gridCol w:w="1684"/>
      </w:tblGrid>
      <w:tr w14:paraId="48B07E73">
        <w:tblPrEx>
          <w:tblCellMar>
            <w:top w:w="0" w:type="dxa"/>
            <w:left w:w="108" w:type="dxa"/>
            <w:bottom w:w="0" w:type="dxa"/>
            <w:right w:w="108" w:type="dxa"/>
          </w:tblCellMar>
        </w:tblPrEx>
        <w:trPr>
          <w:cantSplit/>
          <w:tblHeader/>
        </w:trPr>
        <w:tc>
          <w:tcPr>
            <w:tcW w:w="16377" w:type="dxa"/>
            <w:gridSpan w:val="9"/>
            <w:noWrap w:val="0"/>
            <w:tcMar>
              <w:top w:w="20" w:type="dxa"/>
              <w:left w:w="108" w:type="dxa"/>
              <w:bottom w:w="20" w:type="dxa"/>
              <w:right w:w="108" w:type="dxa"/>
            </w:tcMar>
            <w:vAlign w:val="center"/>
          </w:tcPr>
          <w:p w14:paraId="1DFFFDC0">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一般公共预算财政拨款基本支出决算表</w:t>
            </w:r>
          </w:p>
        </w:tc>
      </w:tr>
      <w:tr w14:paraId="29F199B2">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bottom"/>
          </w:tcPr>
          <w:p w14:paraId="00F31388">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71546C87">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6E157E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02EFF75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3CA4B7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公开06表</w:t>
            </w:r>
          </w:p>
        </w:tc>
      </w:tr>
      <w:tr w14:paraId="0735B802">
        <w:tblPrEx>
          <w:tblCellMar>
            <w:top w:w="0" w:type="dxa"/>
            <w:left w:w="108" w:type="dxa"/>
            <w:bottom w:w="0" w:type="dxa"/>
            <w:right w:w="108" w:type="dxa"/>
          </w:tblCellMar>
        </w:tblPrEx>
        <w:trPr>
          <w:cantSplit/>
          <w:tblHeader/>
        </w:trPr>
        <w:tc>
          <w:tcPr>
            <w:tcW w:w="21600" w:type="dxa"/>
            <w:gridSpan w:val="6"/>
            <w:noWrap w:val="0"/>
            <w:tcMar>
              <w:top w:w="20" w:type="dxa"/>
              <w:left w:w="108" w:type="dxa"/>
              <w:bottom w:w="20" w:type="dxa"/>
              <w:right w:w="108" w:type="dxa"/>
            </w:tcMar>
            <w:vAlign w:val="center"/>
          </w:tcPr>
          <w:p w14:paraId="20F244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编制单位：莆田市木兰溪干部教育培训中心</w:t>
            </w:r>
          </w:p>
        </w:tc>
        <w:tc>
          <w:tcPr>
            <w:tcW w:w="21600" w:type="dxa"/>
            <w:noWrap w:val="0"/>
            <w:tcMar>
              <w:top w:w="20" w:type="dxa"/>
              <w:left w:w="108" w:type="dxa"/>
              <w:bottom w:w="20" w:type="dxa"/>
              <w:right w:w="108" w:type="dxa"/>
            </w:tcMar>
            <w:vAlign w:val="bottom"/>
          </w:tcPr>
          <w:p w14:paraId="51475EA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gridSpan w:val="2"/>
            <w:noWrap w:val="0"/>
            <w:tcMar>
              <w:top w:w="20" w:type="dxa"/>
              <w:left w:w="108" w:type="dxa"/>
              <w:bottom w:w="20" w:type="dxa"/>
              <w:right w:w="108" w:type="dxa"/>
            </w:tcMar>
            <w:vAlign w:val="center"/>
          </w:tcPr>
          <w:p w14:paraId="0BCB9FA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630EB3A1">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5E031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0EFAA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5C3ED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DDEB4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AB3DA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0AAEC1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BD854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经济分类科目编码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CE549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5BAF0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金额</w:t>
            </w:r>
          </w:p>
        </w:tc>
      </w:tr>
      <w:tr w14:paraId="62EEB23E">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876D6C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CB525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F5DD77">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669ADB0">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D5D935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ED9F29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D330A7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13B260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1B7B102">
            <w:pPr>
              <w:rPr>
                <w:rFonts w:ascii="Times New Roman" w:hAnsi="Times New Roman" w:eastAsia="Times New Roman" w:cs="Times New Roman"/>
                <w:b w:val="0"/>
                <w:bCs w:val="0"/>
                <w:i w:val="0"/>
                <w:iCs w:val="0"/>
                <w:smallCaps w:val="0"/>
                <w:color w:val="000000"/>
                <w:kern w:val="0"/>
                <w:sz w:val="26"/>
                <w:szCs w:val="26"/>
              </w:rPr>
            </w:pPr>
          </w:p>
        </w:tc>
      </w:tr>
      <w:tr w14:paraId="38ED46A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B0B7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3DD0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09408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FBC6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8F46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39048D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0.78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C20A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B2E0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B80700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E60D0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6178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B07F3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BC8F4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11.63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143A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9C20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8C9FF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FFBE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62019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国外债务发行费用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E1D9D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B52F2D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A2F4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C2B3C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津贴补贴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B311C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88999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D3DF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印刷费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8DBA3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8E80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8B9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5562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5FD294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49C0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13309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211D8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11.43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E7408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A779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咨询费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6284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3F2F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A45A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房屋建筑物购建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A1017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7BE723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BFF3B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A272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伙食补助费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4DDB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1B70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2E39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手续费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F7C7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1C42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DFB2D1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办公设备购置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6B0E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4555BE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AE54C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96E2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绩效工资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BBC43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BED34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5AF8F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3405F7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934A2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97708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专用设备购置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1521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098993F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4C533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07BF1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机关事业单位基本养老保险缴费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DA99B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64E33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6D0BB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ECBB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5B7D4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F6DDE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基础设施建设</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DA5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E7204F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FE0F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A88CD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职业年金缴费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6DE97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BDFD6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D0B9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邮电费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7CF14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0E230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CBB7E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大型修缮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2F53E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6758EDC0">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F86D1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CF18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职工基本医疗保险缴费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EEFA1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1.35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6800C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79C08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取暖费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FFDB7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01E4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86B8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信息网络及软件购置更新</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14ED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8458BCA">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10CB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9E23AE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公务员医疗补助缴费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8F019B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0.93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EE6C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F683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物业管理费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3776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E310E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3F2AF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物资储备</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780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CAC267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8F04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C9F82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其他社会保障缴费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1D9F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C534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9243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差旅费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F1C6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B1F4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4F984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土地补偿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FC77A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85EEC1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66E5E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C18C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住房公积金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56DBA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4.70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BAD900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693CA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因公出国（境）费用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90F4F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492B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7D530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安置补助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423C2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FE0F11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D232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284BD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1E562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AF4C17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C6CC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维修（护）费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B7C3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2C76C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CA2A6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地上附着物和青苗补偿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D6EE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121E5A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4CCE9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30199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7B27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其他工资福利支出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959E5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8.76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33D4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7C36A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租赁费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F2FC2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1C1542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0B80D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拆迁补偿</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710B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6E357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578A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EE43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70F39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160F4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AB44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会议费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EBD2D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9BD2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CCD67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965B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ABAE85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96C8F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3A125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离休费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0891E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3FEC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4E9BB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培训费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0AE8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8114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31019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02F797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其他交通工具购置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6B188F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F4162E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0F8A1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88A5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退休费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DB473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7E77B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A258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F0011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D5B6A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7F9C8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文物和陈列品购置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771F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C8F4F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9A6BA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C47DE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退职（役）费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44BBB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404EF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30218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1B57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专用材料费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9824F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3028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31022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6D84E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无形资产购置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00FF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0F2E3D6">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34E3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80F2E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抚恤金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42AF06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DE559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D2D1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被装购置费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83C61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DA28F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31099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8EFF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E891E1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8B2086C">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EE91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02FFCB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生活补助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9B6DC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B3E75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2B0A4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专用燃料费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36978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AEEAD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D556F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D18D4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8D4B4D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46004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4F683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救济费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C4D89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854B7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40FDE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劳务费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B99D1D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7F9D4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5F96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资本金注入</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22DB8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7DF8DE">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7C73D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2F866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医疗费补助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9C575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E2E2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D56DE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委托业务费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CFEDE5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75DE75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A1D52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政府投资基金股权投资</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C6E52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4CC4C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3A607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15480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助学金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A272D3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5C33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557D5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工会经费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38E0F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0.37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93460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198C1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费用补贴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9D37C5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E61C5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2972A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87D4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奖励金</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61369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58C18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30229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7720A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福利费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329D5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91A07D">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B671F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利息补贴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791DB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63C8B52">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3F5E2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BAF12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个人农业生产补贴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E1CF50E">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AC9855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D9E14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16A2DF2">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1CD02C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31206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B8B5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其他资本性补助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BFA061">
            <w:pPr>
              <w:widowControl/>
              <w:jc w:val="right"/>
              <w:rPr>
                <w:rFonts w:ascii="Times New Roman" w:hAnsi="Times New Roman" w:eastAsia="Times New Roman" w:cs="Times New Roman"/>
                <w:b w:val="0"/>
                <w:bCs w:val="0"/>
                <w:i w:val="0"/>
                <w:iCs w:val="0"/>
                <w:smallCaps w:val="0"/>
                <w:color w:val="000000"/>
                <w:kern w:val="0"/>
                <w:sz w:val="29"/>
                <w:szCs w:val="29"/>
              </w:rPr>
            </w:pPr>
            <w:r>
              <w:rPr>
                <w:rFonts w:ascii="宋体" w:hAnsi="宋体" w:eastAsia="宋体" w:cs="宋体"/>
                <w:b w:val="0"/>
                <w:bCs w:val="0"/>
                <w:i w:val="0"/>
                <w:iCs w:val="0"/>
                <w:smallCaps w:val="0"/>
                <w:color w:val="000000"/>
                <w:kern w:val="0"/>
                <w:sz w:val="21"/>
                <w:szCs w:val="29"/>
              </w:rPr>
              <w:t>0.00</w:t>
            </w:r>
          </w:p>
        </w:tc>
      </w:tr>
      <w:tr w14:paraId="1D29608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87F707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30311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787E29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代缴社会保险费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279A66">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FF9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30239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D09E9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其他交通费用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9663BB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A0371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31299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0B50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其他对企业补助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631E8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5A19E7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AA3962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54B36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其他对个人和家庭的补助</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9F76F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515354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30240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4CFFA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税金及附加费用</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8DA57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70CA1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41C51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122A78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50601E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9E67C2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03845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8D11E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4F6CF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30299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E933E6">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其他商品和服务支出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58D2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0.41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4827AD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C6263B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国家赔偿费用支出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F2DBF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4DEE9EB">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0FCA1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64121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160236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23503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D782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债务利息及费用支出</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C2044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3C9E0C">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39908</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7710AB">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对民间非营利组织和群众性自治组织补贴</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4E0445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A5174B9">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6EDF7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F963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44508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A061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1C55C6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国内债务付息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7134FC7">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E1BB4B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39909</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885D8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经常性赠与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2FB9F9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3E929A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BD809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96613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533C73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93A73A4">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30702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6B07D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国外债务付息</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799550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53E4D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39910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FEBEA5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资本性赠与</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0092A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2DDE89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D68CB0D">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D18B6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13908E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83C533">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A4BD6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1D2263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E433EF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CFD769">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720016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A685839">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9985B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人员经费合计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3E20E9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50.92</w:t>
            </w:r>
          </w:p>
        </w:tc>
        <w:tc>
          <w:tcPr>
            <w:tcW w:w="21600" w:type="dxa"/>
            <w:gridSpan w:val="5"/>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9755E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公用经费合计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05146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0.78</w:t>
            </w:r>
          </w:p>
        </w:tc>
      </w:tr>
      <w:tr w14:paraId="60B36029">
        <w:tblPrEx>
          <w:tblCellMar>
            <w:top w:w="0" w:type="dxa"/>
            <w:left w:w="108" w:type="dxa"/>
            <w:bottom w:w="0" w:type="dxa"/>
            <w:right w:w="108" w:type="dxa"/>
          </w:tblCellMar>
        </w:tblPrEx>
        <w:trPr>
          <w:cantSplit/>
        </w:trPr>
        <w:tc>
          <w:tcPr>
            <w:tcW w:w="16377" w:type="dxa"/>
            <w:gridSpan w:val="9"/>
            <w:noWrap w:val="0"/>
            <w:tcMar>
              <w:top w:w="20" w:type="dxa"/>
              <w:left w:w="108" w:type="dxa"/>
              <w:bottom w:w="20" w:type="dxa"/>
              <w:right w:w="108" w:type="dxa"/>
            </w:tcMar>
            <w:vAlign w:val="center"/>
          </w:tcPr>
          <w:p w14:paraId="60AF48BE">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注：本表反映单位本年度一般公共预算财政拨款基本支出明细情况。</w:t>
            </w:r>
          </w:p>
        </w:tc>
      </w:tr>
    </w:tbl>
    <w:p w14:paraId="627AC40E">
      <w:pPr>
        <w:sectPr>
          <w:footerReference r:id="rId13" w:type="default"/>
          <w:pgSz w:w="16383" w:h="11906" w:orient="landscape"/>
          <w:pgMar w:top="1134" w:right="720" w:bottom="1134" w:left="720" w:header="720" w:footer="720" w:gutter="0"/>
          <w:cols w:space="720" w:num="1"/>
        </w:sectPr>
      </w:pPr>
    </w:p>
    <w:p w14:paraId="7C7078FD">
      <w:pPr>
        <w:widowControl/>
        <w:jc w:val="left"/>
        <w:rPr>
          <w:rFonts w:ascii="Times New Roman" w:hAnsi="Times New Roman" w:eastAsia="Times New Roman" w:cs="Times New Roman"/>
          <w:spacing w:val="0"/>
          <w:kern w:val="0"/>
          <w:sz w:val="23"/>
          <w:szCs w:val="23"/>
        </w:rPr>
      </w:pPr>
      <w:r>
        <w:rPr>
          <w:rFonts w:ascii="Times New Roman" w:hAnsi="Times New Roman" w:eastAsia="Times New Roman" w:cs="Times New Roman"/>
          <w:spacing w:val="0"/>
          <w:kern w:val="0"/>
          <w:sz w:val="23"/>
          <w:szCs w:val="23"/>
        </w:rPr>
        <w:t>    </w:t>
      </w:r>
    </w:p>
    <w:p w14:paraId="20F582DC">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67" w:name="_Toc256000036"/>
      <w:bookmarkStart w:id="68" w:name="_Toc256000111"/>
      <w:bookmarkStart w:id="69" w:name="_Toc256000136"/>
      <w:bookmarkStart w:id="70" w:name="_Toc256000011"/>
      <w:bookmarkStart w:id="71" w:name="_Toc256000061"/>
      <w:bookmarkStart w:id="72" w:name="_Toc256000086"/>
      <w:r>
        <w:rPr>
          <w:rFonts w:ascii="黑体" w:hAnsi="黑体" w:eastAsia="黑体" w:cs="黑体"/>
          <w:b w:val="0"/>
          <w:bCs w:val="0"/>
          <w:spacing w:val="0"/>
        </w:rPr>
        <w:t>七、一般公共预算财政拨款“三公”经费支出决算表</w:t>
      </w:r>
      <w:bookmarkEnd w:id="67"/>
      <w:bookmarkEnd w:id="68"/>
      <w:bookmarkEnd w:id="69"/>
      <w:bookmarkEnd w:id="70"/>
      <w:bookmarkEnd w:id="71"/>
      <w:bookmarkEnd w:id="72"/>
    </w:p>
    <w:p w14:paraId="4A7D428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w:t>
      </w:r>
    </w:p>
    <w:tbl>
      <w:tblPr>
        <w:tblStyle w:val="19"/>
        <w:tblW w:w="5000" w:type="pct"/>
        <w:tblInd w:w="20" w:type="dxa"/>
        <w:tblLayout w:type="fixed"/>
        <w:tblCellMar>
          <w:top w:w="0" w:type="dxa"/>
          <w:left w:w="108" w:type="dxa"/>
          <w:bottom w:w="0" w:type="dxa"/>
          <w:right w:w="108" w:type="dxa"/>
        </w:tblCellMar>
      </w:tblPr>
      <w:tblGrid>
        <w:gridCol w:w="5053"/>
        <w:gridCol w:w="5053"/>
        <w:gridCol w:w="5053"/>
      </w:tblGrid>
      <w:tr w14:paraId="7DD2705E">
        <w:tblPrEx>
          <w:tblCellMar>
            <w:top w:w="0" w:type="dxa"/>
            <w:left w:w="108" w:type="dxa"/>
            <w:bottom w:w="0" w:type="dxa"/>
            <w:right w:w="108" w:type="dxa"/>
          </w:tblCellMar>
        </w:tblPrEx>
        <w:trPr>
          <w:cantSplit/>
          <w:tblHeader/>
        </w:trPr>
        <w:tc>
          <w:tcPr>
            <w:tcW w:w="16383" w:type="dxa"/>
            <w:gridSpan w:val="3"/>
            <w:noWrap w:val="0"/>
            <w:tcMar>
              <w:top w:w="20" w:type="dxa"/>
              <w:left w:w="108" w:type="dxa"/>
              <w:bottom w:w="20" w:type="dxa"/>
              <w:right w:w="108" w:type="dxa"/>
            </w:tcMar>
            <w:vAlign w:val="center"/>
          </w:tcPr>
          <w:p w14:paraId="0EFFFD81">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一般公共预算财政拨款“三公”经费支出决算表</w:t>
            </w:r>
          </w:p>
        </w:tc>
      </w:tr>
      <w:tr w14:paraId="18158ADB">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4EF88EA1">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286C715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公开07表</w:t>
            </w:r>
          </w:p>
        </w:tc>
      </w:tr>
      <w:tr w14:paraId="2C8BAD54">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center"/>
          </w:tcPr>
          <w:p w14:paraId="551CE00A">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编制单位：莆田市木兰溪干部教育培训中心</w:t>
            </w:r>
          </w:p>
        </w:tc>
        <w:tc>
          <w:tcPr>
            <w:tcW w:w="21600" w:type="dxa"/>
            <w:noWrap w:val="0"/>
            <w:tcMar>
              <w:top w:w="20" w:type="dxa"/>
              <w:left w:w="108" w:type="dxa"/>
              <w:bottom w:w="20" w:type="dxa"/>
              <w:right w:w="108" w:type="dxa"/>
            </w:tcMar>
            <w:vAlign w:val="center"/>
          </w:tcPr>
          <w:p w14:paraId="6659AA1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19AF97A3">
        <w:tblPrEx>
          <w:tblCellMar>
            <w:top w:w="0" w:type="dxa"/>
            <w:left w:w="108" w:type="dxa"/>
            <w:bottom w:w="0" w:type="dxa"/>
            <w:right w:w="108" w:type="dxa"/>
          </w:tblCellMar>
        </w:tblPrEx>
        <w:trPr>
          <w:cantSplit/>
          <w:tblHeader/>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600570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D133A9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行次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7B07B5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决算数</w:t>
            </w:r>
          </w:p>
        </w:tc>
      </w:tr>
      <w:tr w14:paraId="5D8C1598">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F67F0E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C0C96A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07BF0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EC00571">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E037D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 因公出国（境）费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ED9806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5BCFB4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1B767807">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6EAFEF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 公务用车购置及运行维护费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AD4206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C3EC39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2E7263ED">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8D64B9E">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其中：（1）公务用车购置费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5FC140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8462ED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509AB375">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418B47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（2）公务用车运行维护费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2F847E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F4EFEC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7B7EFC4F">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BEA11D1">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 公务接待费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22E181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22AB33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E94D7BE">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0AFE2867">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注：1.本表反映单位本年度“三公”经费支出决算情况，包括当年一般公共预算财政拨款和以前年度结转资金安排的实际支出。</w:t>
            </w:r>
          </w:p>
        </w:tc>
      </w:tr>
      <w:tr w14:paraId="0B6522B0">
        <w:tblPrEx>
          <w:tblCellMar>
            <w:top w:w="0" w:type="dxa"/>
            <w:left w:w="108" w:type="dxa"/>
            <w:bottom w:w="0" w:type="dxa"/>
            <w:right w:w="108" w:type="dxa"/>
          </w:tblCellMar>
        </w:tblPrEx>
        <w:trPr>
          <w:cantSplit/>
        </w:trPr>
        <w:tc>
          <w:tcPr>
            <w:tcW w:w="16383" w:type="dxa"/>
            <w:gridSpan w:val="3"/>
            <w:noWrap w:val="0"/>
            <w:tcMar>
              <w:top w:w="20" w:type="dxa"/>
              <w:left w:w="108" w:type="dxa"/>
              <w:bottom w:w="20" w:type="dxa"/>
              <w:right w:w="108" w:type="dxa"/>
            </w:tcMar>
            <w:vAlign w:val="center"/>
          </w:tcPr>
          <w:p w14:paraId="22C2A83E">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2.本单位2024年度没有使用一般公共预算财政拨款安排的“三公”经费支出</w:t>
            </w:r>
          </w:p>
        </w:tc>
      </w:tr>
    </w:tbl>
    <w:p w14:paraId="24F8642F">
      <w:pPr>
        <w:sectPr>
          <w:footerReference r:id="rId14" w:type="default"/>
          <w:pgSz w:w="16383" w:h="11906" w:orient="landscape"/>
          <w:pgMar w:top="1134" w:right="720" w:bottom="1134" w:left="720" w:header="720" w:footer="720" w:gutter="0"/>
          <w:cols w:space="720" w:num="1"/>
        </w:sectPr>
      </w:pPr>
    </w:p>
    <w:p w14:paraId="09896DC7">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73" w:name="_Toc256000087"/>
      <w:bookmarkStart w:id="74" w:name="_Toc256000037"/>
      <w:bookmarkStart w:id="75" w:name="_Toc256000062"/>
      <w:bookmarkStart w:id="76" w:name="_Toc256000012"/>
      <w:bookmarkStart w:id="77" w:name="_Toc256000112"/>
      <w:bookmarkStart w:id="78" w:name="_Toc256000137"/>
      <w:r>
        <w:rPr>
          <w:rFonts w:ascii="黑体" w:hAnsi="黑体" w:eastAsia="黑体" w:cs="黑体"/>
          <w:b w:val="0"/>
          <w:bCs w:val="0"/>
          <w:spacing w:val="0"/>
        </w:rPr>
        <w:t>八、政府性基金预算财政拨款收入支出决算表</w:t>
      </w:r>
      <w:bookmarkEnd w:id="73"/>
      <w:bookmarkEnd w:id="74"/>
      <w:bookmarkEnd w:id="75"/>
      <w:bookmarkEnd w:id="76"/>
      <w:bookmarkEnd w:id="77"/>
      <w:bookmarkEnd w:id="78"/>
    </w:p>
    <w:p w14:paraId="460FEBB2">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gk08</w:t>
      </w:r>
    </w:p>
    <w:tbl>
      <w:tblPr>
        <w:tblStyle w:val="19"/>
        <w:tblW w:w="5000" w:type="pct"/>
        <w:tblInd w:w="20" w:type="dxa"/>
        <w:tblLayout w:type="fixed"/>
        <w:tblCellMar>
          <w:top w:w="0" w:type="dxa"/>
          <w:left w:w="108" w:type="dxa"/>
          <w:bottom w:w="0" w:type="dxa"/>
          <w:right w:w="108" w:type="dxa"/>
        </w:tblCellMar>
      </w:tblPr>
      <w:tblGrid>
        <w:gridCol w:w="629"/>
        <w:gridCol w:w="629"/>
        <w:gridCol w:w="629"/>
        <w:gridCol w:w="1896"/>
        <w:gridCol w:w="1896"/>
        <w:gridCol w:w="1896"/>
        <w:gridCol w:w="1896"/>
        <w:gridCol w:w="1896"/>
        <w:gridCol w:w="1896"/>
        <w:gridCol w:w="1896"/>
      </w:tblGrid>
      <w:tr w14:paraId="22E9F239">
        <w:tblPrEx>
          <w:tblCellMar>
            <w:top w:w="0" w:type="dxa"/>
            <w:left w:w="108" w:type="dxa"/>
            <w:bottom w:w="0" w:type="dxa"/>
            <w:right w:w="108" w:type="dxa"/>
          </w:tblCellMar>
        </w:tblPrEx>
        <w:trPr>
          <w:cantSplit/>
          <w:tblHeader/>
        </w:trPr>
        <w:tc>
          <w:tcPr>
            <w:tcW w:w="14400" w:type="dxa"/>
            <w:gridSpan w:val="10"/>
            <w:noWrap w:val="0"/>
            <w:tcMar>
              <w:top w:w="20" w:type="dxa"/>
              <w:left w:w="108" w:type="dxa"/>
              <w:bottom w:w="20" w:type="dxa"/>
              <w:right w:w="108" w:type="dxa"/>
            </w:tcMar>
            <w:vAlign w:val="center"/>
          </w:tcPr>
          <w:p w14:paraId="3316F243">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政府性基金预算财政拨款收入支出决算表</w:t>
            </w:r>
          </w:p>
        </w:tc>
      </w:tr>
      <w:tr w14:paraId="3B911E16">
        <w:tblPrEx>
          <w:tblCellMar>
            <w:top w:w="0" w:type="dxa"/>
            <w:left w:w="108" w:type="dxa"/>
            <w:bottom w:w="0" w:type="dxa"/>
            <w:right w:w="108" w:type="dxa"/>
          </w:tblCellMar>
        </w:tblPrEx>
        <w:trPr>
          <w:cantSplit/>
          <w:tblHeader/>
        </w:trPr>
        <w:tc>
          <w:tcPr>
            <w:tcW w:w="5280" w:type="dxa"/>
            <w:gridSpan w:val="2"/>
            <w:noWrap w:val="0"/>
            <w:tcMar>
              <w:top w:w="20" w:type="dxa"/>
              <w:left w:w="108" w:type="dxa"/>
              <w:bottom w:w="20" w:type="dxa"/>
              <w:right w:w="108" w:type="dxa"/>
            </w:tcMar>
            <w:vAlign w:val="bottom"/>
          </w:tcPr>
          <w:p w14:paraId="372D273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5280" w:type="dxa"/>
            <w:noWrap w:val="0"/>
            <w:tcMar>
              <w:top w:w="20" w:type="dxa"/>
              <w:left w:w="108" w:type="dxa"/>
              <w:bottom w:w="20" w:type="dxa"/>
              <w:right w:w="108" w:type="dxa"/>
            </w:tcMar>
            <w:vAlign w:val="bottom"/>
          </w:tcPr>
          <w:p w14:paraId="6C2F620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19627BF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87D431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D539835">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3A3EB7A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3A3750A">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213FA84B">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05B1FA5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公开08表</w:t>
            </w:r>
          </w:p>
        </w:tc>
      </w:tr>
      <w:tr w14:paraId="1426C977">
        <w:tblPrEx>
          <w:tblCellMar>
            <w:top w:w="0" w:type="dxa"/>
            <w:left w:w="108" w:type="dxa"/>
            <w:bottom w:w="0" w:type="dxa"/>
            <w:right w:w="108" w:type="dxa"/>
          </w:tblCellMar>
        </w:tblPrEx>
        <w:trPr>
          <w:cantSplit/>
          <w:tblHeader/>
        </w:trPr>
        <w:tc>
          <w:tcPr>
            <w:tcW w:w="5280" w:type="dxa"/>
            <w:gridSpan w:val="7"/>
            <w:noWrap w:val="0"/>
            <w:tcMar>
              <w:top w:w="20" w:type="dxa"/>
              <w:left w:w="108" w:type="dxa"/>
              <w:bottom w:w="20" w:type="dxa"/>
              <w:right w:w="108" w:type="dxa"/>
            </w:tcMar>
            <w:vAlign w:val="center"/>
          </w:tcPr>
          <w:p w14:paraId="54E6F422">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编制单位：莆田市木兰溪干部教育培训中心</w:t>
            </w:r>
          </w:p>
        </w:tc>
        <w:tc>
          <w:tcPr>
            <w:tcW w:w="21600" w:type="dxa"/>
            <w:noWrap w:val="0"/>
            <w:tcMar>
              <w:top w:w="20" w:type="dxa"/>
              <w:left w:w="108" w:type="dxa"/>
              <w:bottom w:w="20" w:type="dxa"/>
              <w:right w:w="108" w:type="dxa"/>
            </w:tcMar>
            <w:vAlign w:val="bottom"/>
          </w:tcPr>
          <w:p w14:paraId="6EE9B109">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459D6DE0">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7A74CE0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4791C31D">
        <w:tblPrEx>
          <w:tblCellMar>
            <w:top w:w="0" w:type="dxa"/>
            <w:left w:w="108" w:type="dxa"/>
            <w:bottom w:w="0" w:type="dxa"/>
            <w:right w:w="108" w:type="dxa"/>
          </w:tblCellMar>
        </w:tblPrEx>
        <w:trPr>
          <w:cantSplit/>
          <w:tblHeader/>
        </w:trPr>
        <w:tc>
          <w:tcPr>
            <w:tcW w:w="5295" w:type="dxa"/>
            <w:gridSpan w:val="4"/>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4E220E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6D8354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年初结转和结余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319988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本年收入</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819EE0E">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78794D">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年末结转和结余</w:t>
            </w:r>
          </w:p>
        </w:tc>
      </w:tr>
      <w:tr w14:paraId="1B077F14">
        <w:tblPrEx>
          <w:tblCellMar>
            <w:top w:w="0" w:type="dxa"/>
            <w:left w:w="108" w:type="dxa"/>
            <w:bottom w:w="0" w:type="dxa"/>
            <w:right w:w="108" w:type="dxa"/>
          </w:tblCellMar>
        </w:tblPrEx>
        <w:trPr>
          <w:cantSplit/>
          <w:tblHeader/>
        </w:trPr>
        <w:tc>
          <w:tcPr>
            <w:tcW w:w="5295" w:type="dxa"/>
            <w:gridSpan w:val="3"/>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49B4B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支出功能分类科目编码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A8EBA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5DD327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3B8198F">
            <w:pPr>
              <w:rPr>
                <w:rFonts w:ascii="Times New Roman" w:hAnsi="Times New Roman" w:eastAsia="Times New Roman" w:cs="Times New Roman"/>
                <w:b w:val="0"/>
                <w:bCs w:val="0"/>
                <w:i w:val="0"/>
                <w:iCs w:val="0"/>
                <w:smallCaps w:val="0"/>
                <w:color w:val="000000"/>
                <w:kern w:val="0"/>
                <w:sz w:val="26"/>
                <w:szCs w:val="26"/>
              </w:rPr>
            </w:pP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D727745">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小计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98E6D3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xml:space="preserve">基本支出 </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F0A7964">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EF4FCE6">
            <w:pPr>
              <w:rPr>
                <w:rFonts w:ascii="Times New Roman" w:hAnsi="Times New Roman" w:eastAsia="Times New Roman" w:cs="Times New Roman"/>
                <w:b w:val="0"/>
                <w:bCs w:val="0"/>
                <w:i w:val="0"/>
                <w:iCs w:val="0"/>
                <w:smallCaps w:val="0"/>
                <w:color w:val="000000"/>
                <w:kern w:val="0"/>
                <w:sz w:val="26"/>
                <w:szCs w:val="26"/>
              </w:rPr>
            </w:pPr>
          </w:p>
        </w:tc>
      </w:tr>
      <w:tr w14:paraId="14A0DD0E">
        <w:tblPrEx>
          <w:tblCellMar>
            <w:top w:w="0" w:type="dxa"/>
            <w:left w:w="108" w:type="dxa"/>
            <w:bottom w:w="0" w:type="dxa"/>
            <w:right w:w="108" w:type="dxa"/>
          </w:tblCellMar>
        </w:tblPrEx>
        <w:trPr>
          <w:cantSplit/>
          <w:tblHeader/>
        </w:trPr>
        <w:tc>
          <w:tcPr>
            <w:tcW w:w="0" w:type="dxa"/>
            <w:gridSpan w:val="3"/>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C51CCF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5547583">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788F40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A0AFDC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F54FD0B">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1695A89">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91145FA">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6C11245D">
            <w:pPr>
              <w:rPr>
                <w:rFonts w:ascii="Times New Roman" w:hAnsi="Times New Roman" w:eastAsia="Times New Roman" w:cs="Times New Roman"/>
                <w:b w:val="0"/>
                <w:bCs w:val="0"/>
                <w:i w:val="0"/>
                <w:iCs w:val="0"/>
                <w:smallCaps w:val="0"/>
                <w:color w:val="000000"/>
                <w:kern w:val="0"/>
                <w:sz w:val="26"/>
                <w:szCs w:val="26"/>
              </w:rPr>
            </w:pPr>
          </w:p>
        </w:tc>
      </w:tr>
      <w:tr w14:paraId="48940BA3">
        <w:tblPrEx>
          <w:tblCellMar>
            <w:top w:w="0" w:type="dxa"/>
            <w:left w:w="108" w:type="dxa"/>
            <w:bottom w:w="0" w:type="dxa"/>
            <w:right w:w="108" w:type="dxa"/>
          </w:tblCellMar>
        </w:tblPrEx>
        <w:trPr>
          <w:cantSplit/>
          <w:tblHeader/>
        </w:trPr>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EDA1C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类</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962AC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款</w:t>
            </w:r>
          </w:p>
        </w:tc>
        <w:tc>
          <w:tcPr>
            <w:tcW w:w="5295"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738116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1248C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E46506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FCD31B8">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19F4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9A9B08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4</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53B9967">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5</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825EAF3">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6</w:t>
            </w:r>
          </w:p>
        </w:tc>
      </w:tr>
      <w:tr w14:paraId="42E43E6C">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9FE466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C6220F8">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879C2C3">
            <w:pPr>
              <w:rPr>
                <w:rFonts w:ascii="Times New Roman" w:hAnsi="Times New Roman" w:eastAsia="Times New Roman" w:cs="Times New Roman"/>
                <w:b w:val="0"/>
                <w:bCs w:val="0"/>
                <w:i w:val="0"/>
                <w:iCs w:val="0"/>
                <w:smallCaps w:val="0"/>
                <w:color w:val="000000"/>
                <w:kern w:val="0"/>
                <w:sz w:val="26"/>
                <w:szCs w:val="26"/>
              </w:rPr>
            </w:pP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87433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5E0E060">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ABBDD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F047F6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ED95BC8">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A558FE5">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0B01F7C">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33306704">
        <w:tblPrEx>
          <w:tblCellMar>
            <w:top w:w="0" w:type="dxa"/>
            <w:left w:w="108" w:type="dxa"/>
            <w:bottom w:w="0" w:type="dxa"/>
            <w:right w:w="108" w:type="dxa"/>
          </w:tblCellMar>
        </w:tblPrEx>
        <w:trPr>
          <w:cantSplit/>
        </w:trPr>
        <w:tc>
          <w:tcPr>
            <w:tcW w:w="5295"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2BFE9A0">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0968758">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BDFF04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444F0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1F9C6E">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FB2A1F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7519BB">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B207172">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16BC955C">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038B39E3">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注：1.本表反映单位本年度政府性基金预算财政拨款收入、支出及结转和结余情况。</w:t>
            </w:r>
          </w:p>
        </w:tc>
      </w:tr>
      <w:tr w14:paraId="08EB0DD5">
        <w:tblPrEx>
          <w:tblCellMar>
            <w:top w:w="0" w:type="dxa"/>
            <w:left w:w="108" w:type="dxa"/>
            <w:bottom w:w="0" w:type="dxa"/>
            <w:right w:w="108" w:type="dxa"/>
          </w:tblCellMar>
        </w:tblPrEx>
        <w:trPr>
          <w:cantSplit/>
        </w:trPr>
        <w:tc>
          <w:tcPr>
            <w:tcW w:w="14400" w:type="dxa"/>
            <w:gridSpan w:val="10"/>
            <w:noWrap w:val="0"/>
            <w:tcMar>
              <w:top w:w="20" w:type="dxa"/>
              <w:left w:w="108" w:type="dxa"/>
              <w:bottom w:w="20" w:type="dxa"/>
              <w:right w:w="108" w:type="dxa"/>
            </w:tcMar>
            <w:vAlign w:val="center"/>
          </w:tcPr>
          <w:p w14:paraId="01A1D3CD">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2.本单位2024年度没有使用政府性基金预算财政拨款安排的收支</w:t>
            </w:r>
          </w:p>
        </w:tc>
      </w:tr>
    </w:tbl>
    <w:p w14:paraId="175EA6E0">
      <w:pPr>
        <w:sectPr>
          <w:footerReference r:id="rId15" w:type="default"/>
          <w:pgSz w:w="16383" w:h="11906" w:orient="landscape"/>
          <w:pgMar w:top="1134" w:right="720" w:bottom="1134" w:left="720" w:header="720" w:footer="720" w:gutter="0"/>
          <w:cols w:space="720" w:num="1"/>
        </w:sectPr>
      </w:pPr>
    </w:p>
    <w:p w14:paraId="6EC30A05">
      <w:pPr>
        <w:pStyle w:val="29"/>
        <w:widowControl/>
        <w:spacing w:before="100" w:after="100"/>
        <w:ind w:left="100" w:right="100" w:firstLine="0"/>
        <w:jc w:val="left"/>
        <w:rPr>
          <w:rFonts w:ascii="Times New Roman" w:hAnsi="Times New Roman" w:eastAsia="Times New Roman" w:cs="Times New Roman"/>
          <w:kern w:val="0"/>
          <w:sz w:val="24"/>
        </w:rPr>
      </w:pPr>
      <w:r>
        <w:rPr>
          <w:rFonts w:ascii="宋体" w:hAnsi="宋体" w:cs="宋体"/>
          <w:spacing w:val="0"/>
          <w:kern w:val="0"/>
          <w:sz w:val="24"/>
        </w:rPr>
        <w:t>  </w:t>
      </w:r>
      <w:r>
        <w:rPr>
          <w:rFonts w:ascii="黑体" w:hAnsi="黑体" w:eastAsia="黑体" w:cs="黑体"/>
          <w:b w:val="0"/>
          <w:bCs w:val="0"/>
          <w:spacing w:val="0"/>
          <w:kern w:val="0"/>
          <w:sz w:val="32"/>
          <w:szCs w:val="32"/>
        </w:rPr>
        <w:t>九、国有资本经营预算财政拨款支出决算表</w:t>
      </w:r>
    </w:p>
    <w:p w14:paraId="020DB638">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horizontal layout gk09</w:t>
      </w:r>
    </w:p>
    <w:tbl>
      <w:tblPr>
        <w:tblStyle w:val="19"/>
        <w:tblW w:w="5000" w:type="pct"/>
        <w:tblInd w:w="20" w:type="dxa"/>
        <w:tblLayout w:type="fixed"/>
        <w:tblCellMar>
          <w:top w:w="0" w:type="dxa"/>
          <w:left w:w="108" w:type="dxa"/>
          <w:bottom w:w="0" w:type="dxa"/>
          <w:right w:w="108" w:type="dxa"/>
        </w:tblCellMar>
      </w:tblPr>
      <w:tblGrid>
        <w:gridCol w:w="3031"/>
        <w:gridCol w:w="3032"/>
        <w:gridCol w:w="3032"/>
        <w:gridCol w:w="3032"/>
        <w:gridCol w:w="3032"/>
      </w:tblGrid>
      <w:tr w14:paraId="4CAA84CD">
        <w:tblPrEx>
          <w:tblCellMar>
            <w:top w:w="0" w:type="dxa"/>
            <w:left w:w="108" w:type="dxa"/>
            <w:bottom w:w="0" w:type="dxa"/>
            <w:right w:w="108" w:type="dxa"/>
          </w:tblCellMar>
        </w:tblPrEx>
        <w:trPr>
          <w:cantSplit/>
          <w:tblHeader/>
        </w:trPr>
        <w:tc>
          <w:tcPr>
            <w:tcW w:w="16380" w:type="dxa"/>
            <w:gridSpan w:val="5"/>
            <w:noWrap w:val="0"/>
            <w:tcMar>
              <w:top w:w="20" w:type="dxa"/>
              <w:left w:w="108" w:type="dxa"/>
              <w:bottom w:w="20" w:type="dxa"/>
              <w:right w:w="108" w:type="dxa"/>
            </w:tcMar>
            <w:vAlign w:val="center"/>
          </w:tcPr>
          <w:p w14:paraId="502E6C5E">
            <w:pPr>
              <w:widowControl/>
              <w:jc w:val="center"/>
              <w:rPr>
                <w:rFonts w:ascii="黑体" w:hAnsi="黑体" w:eastAsia="黑体" w:cs="黑体"/>
                <w:b w:val="0"/>
                <w:bCs w:val="0"/>
                <w:i w:val="0"/>
                <w:iCs w:val="0"/>
                <w:smallCaps w:val="0"/>
                <w:color w:val="000000"/>
                <w:kern w:val="0"/>
                <w:sz w:val="36"/>
                <w:szCs w:val="36"/>
              </w:rPr>
            </w:pPr>
            <w:r>
              <w:rPr>
                <w:rFonts w:ascii="黑体" w:hAnsi="黑体" w:eastAsia="黑体" w:cs="黑体"/>
                <w:b w:val="0"/>
                <w:bCs w:val="0"/>
                <w:i w:val="0"/>
                <w:iCs w:val="0"/>
                <w:smallCaps w:val="0"/>
                <w:color w:val="000000"/>
                <w:kern w:val="0"/>
                <w:sz w:val="32"/>
                <w:szCs w:val="36"/>
              </w:rPr>
              <w:t>国有资本经营预算财政拨款支出决算表</w:t>
            </w:r>
          </w:p>
        </w:tc>
      </w:tr>
      <w:tr w14:paraId="67DE8866">
        <w:tblPrEx>
          <w:tblCellMar>
            <w:top w:w="0" w:type="dxa"/>
            <w:left w:w="108" w:type="dxa"/>
            <w:bottom w:w="0" w:type="dxa"/>
            <w:right w:w="108" w:type="dxa"/>
          </w:tblCellMar>
        </w:tblPrEx>
        <w:trPr>
          <w:cantSplit/>
          <w:tblHeader/>
        </w:trPr>
        <w:tc>
          <w:tcPr>
            <w:tcW w:w="21600" w:type="dxa"/>
            <w:gridSpan w:val="2"/>
            <w:noWrap w:val="0"/>
            <w:tcMar>
              <w:top w:w="20" w:type="dxa"/>
              <w:left w:w="108" w:type="dxa"/>
              <w:bottom w:w="20" w:type="dxa"/>
              <w:right w:w="108" w:type="dxa"/>
            </w:tcMar>
            <w:vAlign w:val="bottom"/>
          </w:tcPr>
          <w:p w14:paraId="4BE22D46">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6C71474F">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bottom"/>
          </w:tcPr>
          <w:p w14:paraId="568C5243">
            <w:pPr>
              <w:widowControl/>
              <w:jc w:val="left"/>
              <w:rPr>
                <w:rFonts w:ascii="Times New Roman" w:hAnsi="Times New Roman" w:eastAsia="Times New Roman" w:cs="Times New Roman"/>
                <w:b w:val="0"/>
                <w:bCs w:val="0"/>
                <w:i w:val="0"/>
                <w:iCs w:val="0"/>
                <w:smallCaps w:val="0"/>
                <w:color w:val="000000"/>
                <w:kern w:val="0"/>
                <w:sz w:val="26"/>
                <w:szCs w:val="26"/>
              </w:rPr>
            </w:pPr>
            <w:r>
              <w:rPr>
                <w:rFonts w:ascii="Times New Roman" w:hAnsi="Times New Roman" w:eastAsia="Times New Roman" w:cs="Times New Roman"/>
                <w:b w:val="0"/>
                <w:bCs w:val="0"/>
                <w:i w:val="0"/>
                <w:iCs w:val="0"/>
                <w:smallCaps w:val="0"/>
                <w:color w:val="000000"/>
                <w:kern w:val="0"/>
                <w:sz w:val="26"/>
                <w:szCs w:val="26"/>
              </w:rPr>
              <w:t> </w:t>
            </w:r>
          </w:p>
        </w:tc>
        <w:tc>
          <w:tcPr>
            <w:tcW w:w="21600" w:type="dxa"/>
            <w:noWrap w:val="0"/>
            <w:tcMar>
              <w:top w:w="20" w:type="dxa"/>
              <w:left w:w="108" w:type="dxa"/>
              <w:bottom w:w="20" w:type="dxa"/>
              <w:right w:w="108" w:type="dxa"/>
            </w:tcMar>
            <w:vAlign w:val="center"/>
          </w:tcPr>
          <w:p w14:paraId="141A9601">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公开09表</w:t>
            </w:r>
          </w:p>
        </w:tc>
      </w:tr>
      <w:tr w14:paraId="1B4144CB">
        <w:tblPrEx>
          <w:tblCellMar>
            <w:top w:w="0" w:type="dxa"/>
            <w:left w:w="108" w:type="dxa"/>
            <w:bottom w:w="0" w:type="dxa"/>
            <w:right w:w="108" w:type="dxa"/>
          </w:tblCellMar>
        </w:tblPrEx>
        <w:trPr>
          <w:cantSplit/>
          <w:tblHeader/>
        </w:trPr>
        <w:tc>
          <w:tcPr>
            <w:tcW w:w="21600" w:type="dxa"/>
            <w:gridSpan w:val="4"/>
            <w:noWrap w:val="0"/>
            <w:tcMar>
              <w:top w:w="20" w:type="dxa"/>
              <w:left w:w="108" w:type="dxa"/>
              <w:bottom w:w="20" w:type="dxa"/>
              <w:right w:w="108" w:type="dxa"/>
            </w:tcMar>
            <w:vAlign w:val="center"/>
          </w:tcPr>
          <w:p w14:paraId="2CBDB1F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4"/>
                <w:szCs w:val="26"/>
              </w:rPr>
              <w:t>编制单位：莆田市木兰溪干部教育培训中心</w:t>
            </w:r>
          </w:p>
        </w:tc>
        <w:tc>
          <w:tcPr>
            <w:tcW w:w="21600" w:type="dxa"/>
            <w:noWrap w:val="0"/>
            <w:tcMar>
              <w:top w:w="20" w:type="dxa"/>
              <w:left w:w="108" w:type="dxa"/>
              <w:bottom w:w="20" w:type="dxa"/>
              <w:right w:w="108" w:type="dxa"/>
            </w:tcMar>
            <w:vAlign w:val="center"/>
          </w:tcPr>
          <w:p w14:paraId="2E35B193">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单位：万元</w:t>
            </w:r>
          </w:p>
        </w:tc>
      </w:tr>
      <w:tr w14:paraId="3E3CDA56">
        <w:tblPrEx>
          <w:tblCellMar>
            <w:top w:w="0" w:type="dxa"/>
            <w:left w:w="108" w:type="dxa"/>
            <w:bottom w:w="0" w:type="dxa"/>
            <w:right w:w="108" w:type="dxa"/>
          </w:tblCellMar>
        </w:tblPrEx>
        <w:trPr>
          <w:cantSplit/>
          <w:tblHeader/>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534D3D0">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 目</w:t>
            </w:r>
          </w:p>
        </w:tc>
        <w:tc>
          <w:tcPr>
            <w:tcW w:w="21600" w:type="dxa"/>
            <w:gridSpan w:val="3"/>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FE345B">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本年支出</w:t>
            </w:r>
          </w:p>
        </w:tc>
      </w:tr>
      <w:tr w14:paraId="3BB90E72">
        <w:tblPrEx>
          <w:tblCellMar>
            <w:top w:w="0" w:type="dxa"/>
            <w:left w:w="108" w:type="dxa"/>
            <w:bottom w:w="0" w:type="dxa"/>
            <w:right w:w="108" w:type="dxa"/>
          </w:tblCellMar>
        </w:tblPrEx>
        <w:trPr>
          <w:cantSplit/>
          <w:tblHeader/>
        </w:trPr>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2EA1DF9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功能分类科目编码</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DB65571">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科目名称</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3B26F12">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2C0F3F9">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基本支出</w:t>
            </w:r>
          </w:p>
        </w:tc>
        <w:tc>
          <w:tcPr>
            <w:tcW w:w="21600" w:type="dxa"/>
            <w:vMerge w:val="restart"/>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A6A6A1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项目支出</w:t>
            </w:r>
          </w:p>
        </w:tc>
      </w:tr>
      <w:tr w14:paraId="7DE0BDE1">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B29C34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F47FBB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87A5CAF">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9C8451D">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FEDDF2F">
            <w:pPr>
              <w:rPr>
                <w:rFonts w:ascii="Times New Roman" w:hAnsi="Times New Roman" w:eastAsia="Times New Roman" w:cs="Times New Roman"/>
                <w:b w:val="0"/>
                <w:bCs w:val="0"/>
                <w:i w:val="0"/>
                <w:iCs w:val="0"/>
                <w:smallCaps w:val="0"/>
                <w:color w:val="000000"/>
                <w:kern w:val="0"/>
                <w:sz w:val="26"/>
                <w:szCs w:val="26"/>
              </w:rPr>
            </w:pPr>
          </w:p>
        </w:tc>
      </w:tr>
      <w:tr w14:paraId="71A6B019">
        <w:tblPrEx>
          <w:tblCellMar>
            <w:top w:w="0" w:type="dxa"/>
            <w:left w:w="108" w:type="dxa"/>
            <w:bottom w:w="0" w:type="dxa"/>
            <w:right w:w="108" w:type="dxa"/>
          </w:tblCellMar>
        </w:tblPrEx>
        <w:trPr>
          <w:cantSplit/>
          <w:tblHeader/>
        </w:trPr>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9BCA941">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4F7B0DE">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2510FA6">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534E594">
            <w:pPr>
              <w:rPr>
                <w:rFonts w:ascii="Times New Roman" w:hAnsi="Times New Roman" w:eastAsia="Times New Roman" w:cs="Times New Roman"/>
                <w:b w:val="0"/>
                <w:bCs w:val="0"/>
                <w:i w:val="0"/>
                <w:iCs w:val="0"/>
                <w:smallCaps w:val="0"/>
                <w:color w:val="000000"/>
                <w:kern w:val="0"/>
                <w:sz w:val="26"/>
                <w:szCs w:val="26"/>
              </w:rPr>
            </w:pPr>
          </w:p>
        </w:tc>
        <w:tc>
          <w:tcPr>
            <w:tcW w:w="0" w:type="dxa"/>
            <w:vMerge w:val="continue"/>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2458CD7B">
            <w:pPr>
              <w:rPr>
                <w:rFonts w:ascii="Times New Roman" w:hAnsi="Times New Roman" w:eastAsia="Times New Roman" w:cs="Times New Roman"/>
                <w:b w:val="0"/>
                <w:bCs w:val="0"/>
                <w:i w:val="0"/>
                <w:iCs w:val="0"/>
                <w:smallCaps w:val="0"/>
                <w:color w:val="000000"/>
                <w:kern w:val="0"/>
                <w:sz w:val="26"/>
                <w:szCs w:val="26"/>
              </w:rPr>
            </w:pPr>
          </w:p>
        </w:tc>
      </w:tr>
      <w:tr w14:paraId="6FAD03A1">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7B1B9456">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栏次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662AAEC">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1</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2BB9D8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2176B7F">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3</w:t>
            </w:r>
          </w:p>
        </w:tc>
      </w:tr>
      <w:tr w14:paraId="6AED19C2">
        <w:tblPrEx>
          <w:tblCellMar>
            <w:top w:w="0" w:type="dxa"/>
            <w:left w:w="108" w:type="dxa"/>
            <w:bottom w:w="0" w:type="dxa"/>
            <w:right w:w="108" w:type="dxa"/>
          </w:tblCellMar>
        </w:tblPrEx>
        <w:trPr>
          <w:cantSplit/>
        </w:trPr>
        <w:tc>
          <w:tcPr>
            <w:tcW w:w="21600" w:type="dxa"/>
            <w:gridSpan w:val="2"/>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3617E5AA">
            <w:pPr>
              <w:widowControl/>
              <w:jc w:val="center"/>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合计</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6DAC83D7">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F4610BA">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181D146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0.00</w:t>
            </w:r>
          </w:p>
        </w:tc>
      </w:tr>
      <w:tr w14:paraId="4CF38134">
        <w:tblPrEx>
          <w:tblCellMar>
            <w:top w:w="0" w:type="dxa"/>
            <w:left w:w="108" w:type="dxa"/>
            <w:bottom w:w="0" w:type="dxa"/>
            <w:right w:w="108" w:type="dxa"/>
          </w:tblCellMar>
        </w:tblPrEx>
        <w:trPr>
          <w:cantSplit/>
        </w:trPr>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40260F">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50832805">
            <w:pPr>
              <w:widowControl/>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4CC15C3F">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DF8369">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c>
          <w:tcPr>
            <w:tcW w:w="21600" w:type="dxa"/>
            <w:tcBorders>
              <w:top w:val="single" w:color="000000" w:sz="6" w:space="0"/>
              <w:left w:val="single" w:color="000000" w:sz="6" w:space="0"/>
              <w:bottom w:val="single" w:color="000000" w:sz="6" w:space="0"/>
              <w:right w:val="single" w:color="000000" w:sz="6" w:space="0"/>
            </w:tcBorders>
            <w:noWrap w:val="0"/>
            <w:tcMar>
              <w:top w:w="22" w:type="dxa"/>
              <w:left w:w="108" w:type="dxa"/>
              <w:bottom w:w="22" w:type="dxa"/>
              <w:right w:w="108" w:type="dxa"/>
            </w:tcMar>
            <w:vAlign w:val="center"/>
          </w:tcPr>
          <w:p w14:paraId="048E35C4">
            <w:pPr>
              <w:widowControl/>
              <w:jc w:val="righ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 </w:t>
            </w:r>
          </w:p>
        </w:tc>
      </w:tr>
      <w:tr w14:paraId="5803B05F">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327444F1">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注：1.本表反映单位本年度国有资本经营预算财政拨款支出情况</w:t>
            </w:r>
          </w:p>
        </w:tc>
      </w:tr>
      <w:tr w14:paraId="2181D299">
        <w:tblPrEx>
          <w:tblCellMar>
            <w:top w:w="0" w:type="dxa"/>
            <w:left w:w="108" w:type="dxa"/>
            <w:bottom w:w="0" w:type="dxa"/>
            <w:right w:w="108" w:type="dxa"/>
          </w:tblCellMar>
        </w:tblPrEx>
        <w:trPr>
          <w:cantSplit/>
        </w:trPr>
        <w:tc>
          <w:tcPr>
            <w:tcW w:w="16380" w:type="dxa"/>
            <w:gridSpan w:val="5"/>
            <w:noWrap w:val="0"/>
            <w:tcMar>
              <w:top w:w="20" w:type="dxa"/>
              <w:left w:w="108" w:type="dxa"/>
              <w:bottom w:w="20" w:type="dxa"/>
              <w:right w:w="108" w:type="dxa"/>
            </w:tcMar>
            <w:vAlign w:val="center"/>
          </w:tcPr>
          <w:p w14:paraId="7CAD459C">
            <w:pPr>
              <w:widowControl/>
              <w:spacing w:line="375" w:lineRule="atLeast"/>
              <w:jc w:val="left"/>
              <w:rPr>
                <w:rFonts w:ascii="Times New Roman" w:hAnsi="Times New Roman" w:eastAsia="Times New Roman" w:cs="Times New Roman"/>
                <w:b w:val="0"/>
                <w:bCs w:val="0"/>
                <w:i w:val="0"/>
                <w:iCs w:val="0"/>
                <w:smallCaps w:val="0"/>
                <w:color w:val="000000"/>
                <w:kern w:val="0"/>
                <w:sz w:val="26"/>
                <w:szCs w:val="26"/>
              </w:rPr>
            </w:pPr>
            <w:r>
              <w:rPr>
                <w:rFonts w:ascii="宋体" w:hAnsi="宋体" w:eastAsia="宋体" w:cs="宋体"/>
                <w:b w:val="0"/>
                <w:bCs w:val="0"/>
                <w:i w:val="0"/>
                <w:iCs w:val="0"/>
                <w:smallCaps w:val="0"/>
                <w:color w:val="000000"/>
                <w:kern w:val="0"/>
                <w:sz w:val="21"/>
                <w:szCs w:val="26"/>
              </w:rPr>
              <w:t>2.本单位2024年度没有使用国有资本经营预算财政拨款安排的支出</w:t>
            </w:r>
          </w:p>
        </w:tc>
      </w:tr>
    </w:tbl>
    <w:p w14:paraId="5B64203F">
      <w:pPr>
        <w:sectPr>
          <w:footerReference r:id="rId16" w:type="default"/>
          <w:pgSz w:w="16383" w:h="11906" w:orient="landscape"/>
          <w:pgMar w:top="1134" w:right="720" w:bottom="1134" w:left="720" w:header="720" w:footer="720" w:gutter="0"/>
          <w:cols w:space="720" w:num="1"/>
        </w:sectPr>
      </w:pPr>
    </w:p>
    <w:p w14:paraId="005DD0B4">
      <w:pPr>
        <w:pStyle w:val="28"/>
        <w:widowControl/>
        <w:spacing w:before="240" w:after="240"/>
        <w:jc w:val="left"/>
        <w:rPr>
          <w:rFonts w:ascii="Times New Roman" w:hAnsi="Times New Roman" w:eastAsia="Times New Roman" w:cs="Times New Roman"/>
          <w:kern w:val="0"/>
          <w:sz w:val="24"/>
        </w:rPr>
      </w:pPr>
    </w:p>
    <w:p w14:paraId="42EDB514">
      <w:pPr>
        <w:pStyle w:val="28"/>
        <w:widowControl/>
        <w:spacing w:before="240" w:after="240"/>
        <w:jc w:val="left"/>
        <w:rPr>
          <w:rFonts w:ascii="Times New Roman" w:hAnsi="Times New Roman" w:eastAsia="Times New Roman" w:cs="Times New Roman"/>
          <w:kern w:val="0"/>
          <w:sz w:val="24"/>
        </w:rPr>
      </w:pPr>
    </w:p>
    <w:p w14:paraId="31793154">
      <w:pPr>
        <w:pStyle w:val="28"/>
        <w:widowControl/>
        <w:spacing w:before="240" w:after="240"/>
        <w:jc w:val="left"/>
        <w:rPr>
          <w:rFonts w:ascii="Times New Roman" w:hAnsi="Times New Roman" w:eastAsia="Times New Roman" w:cs="Times New Roman"/>
          <w:kern w:val="0"/>
          <w:sz w:val="24"/>
        </w:rPr>
      </w:pPr>
    </w:p>
    <w:p w14:paraId="7F6517BE">
      <w:pPr>
        <w:pStyle w:val="28"/>
        <w:widowControl/>
        <w:spacing w:before="240" w:after="240"/>
        <w:jc w:val="left"/>
        <w:rPr>
          <w:rFonts w:ascii="Times New Roman" w:hAnsi="Times New Roman" w:eastAsia="Times New Roman" w:cs="Times New Roman"/>
          <w:kern w:val="0"/>
          <w:sz w:val="24"/>
        </w:rPr>
      </w:pPr>
    </w:p>
    <w:p w14:paraId="7D25C08D">
      <w:pPr>
        <w:pStyle w:val="28"/>
        <w:widowControl/>
        <w:spacing w:before="240" w:after="240"/>
        <w:jc w:val="left"/>
        <w:rPr>
          <w:rFonts w:ascii="Times New Roman" w:hAnsi="Times New Roman" w:eastAsia="Times New Roman" w:cs="Times New Roman"/>
          <w:kern w:val="0"/>
          <w:sz w:val="24"/>
        </w:rPr>
      </w:pPr>
    </w:p>
    <w:p w14:paraId="4C8B7E7A">
      <w:pPr>
        <w:pStyle w:val="28"/>
        <w:widowControl/>
        <w:spacing w:before="240" w:after="240"/>
        <w:jc w:val="left"/>
        <w:rPr>
          <w:rFonts w:ascii="Times New Roman" w:hAnsi="Times New Roman" w:eastAsia="Times New Roman" w:cs="Times New Roman"/>
          <w:kern w:val="0"/>
          <w:sz w:val="24"/>
        </w:rPr>
      </w:pPr>
    </w:p>
    <w:p w14:paraId="79483942">
      <w:pPr>
        <w:pStyle w:val="28"/>
        <w:widowControl/>
        <w:spacing w:before="240" w:after="240"/>
        <w:jc w:val="left"/>
        <w:rPr>
          <w:rFonts w:ascii="Times New Roman" w:hAnsi="Times New Roman" w:eastAsia="Times New Roman" w:cs="Times New Roman"/>
          <w:kern w:val="0"/>
          <w:sz w:val="24"/>
        </w:rPr>
      </w:pPr>
    </w:p>
    <w:p w14:paraId="1F944F42">
      <w:pPr>
        <w:pStyle w:val="28"/>
        <w:widowControl/>
        <w:spacing w:before="240" w:after="240"/>
        <w:jc w:val="left"/>
        <w:rPr>
          <w:rFonts w:ascii="Times New Roman" w:hAnsi="Times New Roman" w:eastAsia="Times New Roman" w:cs="Times New Roman"/>
          <w:kern w:val="0"/>
          <w:sz w:val="24"/>
        </w:rPr>
      </w:pPr>
    </w:p>
    <w:p w14:paraId="7A0B59A9">
      <w:pPr>
        <w:pStyle w:val="28"/>
        <w:widowControl/>
        <w:spacing w:before="240" w:after="240"/>
        <w:jc w:val="left"/>
        <w:rPr>
          <w:rFonts w:ascii="Times New Roman" w:hAnsi="Times New Roman" w:eastAsia="Times New Roman" w:cs="Times New Roman"/>
          <w:kern w:val="0"/>
          <w:sz w:val="24"/>
        </w:rPr>
      </w:pPr>
    </w:p>
    <w:p w14:paraId="44F07B03">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79" w:name="_Toc256000113"/>
      <w:bookmarkStart w:id="80" w:name="_Toc256000038"/>
      <w:bookmarkStart w:id="81" w:name="_Toc256000138"/>
      <w:bookmarkStart w:id="82" w:name="_Toc256000063"/>
      <w:bookmarkStart w:id="83" w:name="_Toc256000013"/>
      <w:bookmarkStart w:id="84" w:name="_Toc256000088"/>
      <w:r>
        <w:rPr>
          <w:rFonts w:ascii="黑体" w:hAnsi="黑体" w:eastAsia="黑体" w:cs="黑体"/>
          <w:b w:val="0"/>
          <w:bCs w:val="0"/>
          <w:spacing w:val="0"/>
          <w:sz w:val="56"/>
          <w:szCs w:val="56"/>
        </w:rPr>
        <w:t>第三部分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2024年度单位决算情况说明</w:t>
      </w:r>
      <w:bookmarkEnd w:id="79"/>
      <w:bookmarkEnd w:id="80"/>
      <w:bookmarkEnd w:id="81"/>
      <w:bookmarkEnd w:id="82"/>
      <w:bookmarkEnd w:id="83"/>
      <w:bookmarkEnd w:id="84"/>
    </w:p>
    <w:p w14:paraId="5A507B4D">
      <w:pPr>
        <w:sectPr>
          <w:footerReference r:id="rId17" w:type="default"/>
          <w:pgSz w:w="11906" w:h="16838"/>
          <w:pgMar w:top="1440" w:right="720" w:bottom="1440" w:left="720" w:header="720" w:footer="720" w:gutter="0"/>
          <w:cols w:space="720" w:num="1"/>
        </w:sectPr>
      </w:pPr>
    </w:p>
    <w:p w14:paraId="5BFC1569">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9CF0974">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85" w:name="_Toc256000114"/>
      <w:bookmarkStart w:id="86" w:name="_Toc256000139"/>
      <w:bookmarkStart w:id="87" w:name="_Toc256000014"/>
      <w:bookmarkStart w:id="88" w:name="_Toc256000089"/>
      <w:bookmarkStart w:id="89" w:name="_Toc256000039"/>
      <w:bookmarkStart w:id="90" w:name="_Toc256000064"/>
      <w:r>
        <w:rPr>
          <w:rFonts w:ascii="黑体" w:hAnsi="黑体" w:eastAsia="黑体" w:cs="黑体"/>
          <w:b w:val="0"/>
          <w:bCs w:val="0"/>
          <w:spacing w:val="0"/>
        </w:rPr>
        <w:t>一、收入支出决算总体情况说明</w:t>
      </w:r>
      <w:bookmarkEnd w:id="85"/>
      <w:bookmarkEnd w:id="86"/>
      <w:bookmarkEnd w:id="87"/>
      <w:bookmarkEnd w:id="88"/>
      <w:bookmarkEnd w:id="89"/>
      <w:bookmarkEnd w:id="90"/>
    </w:p>
    <w:p w14:paraId="4B6CDFD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（一）收入支出决算总体情况说明</w:t>
      </w:r>
    </w:p>
    <w:p w14:paraId="0106AE3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2024年度本单位收入总计51.70万元，支出总计51.70万元，与上年决算数相比，各增加3.59万元，各</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7.4</w:t>
      </w:r>
      <w:r>
        <w:rPr>
          <w:rFonts w:hint="eastAsia" w:ascii="仿宋_GB2312" w:hAnsi="仿宋_GB2312" w:eastAsia="仿宋_GB2312" w:cs="仿宋_GB2312"/>
          <w:spacing w:val="0"/>
          <w:kern w:val="0"/>
          <w:sz w:val="32"/>
          <w:szCs w:val="32"/>
          <w:lang w:val="en-US" w:eastAsia="zh-CN"/>
        </w:rPr>
        <w:t>6</w:t>
      </w:r>
      <w:r>
        <w:rPr>
          <w:rFonts w:ascii="仿宋_GB2312" w:hAnsi="仿宋_GB2312" w:eastAsia="仿宋_GB2312" w:cs="仿宋_GB2312"/>
          <w:spacing w:val="0"/>
          <w:kern w:val="0"/>
          <w:sz w:val="32"/>
          <w:szCs w:val="32"/>
        </w:rPr>
        <w:t>%。主要是人员支出增加。</w:t>
      </w:r>
    </w:p>
    <w:p w14:paraId="62E8ADB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（二）收入决算情况说明</w:t>
      </w:r>
    </w:p>
    <w:p w14:paraId="3938E66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2024年度收入51.70万元，比上年决算数</w:t>
      </w:r>
      <w:r>
        <w:rPr>
          <w:rFonts w:ascii="仿宋_GB2312" w:hAnsi="仿宋_GB2312" w:eastAsia="仿宋_GB2312" w:cs="仿宋_GB2312"/>
          <w:kern w:val="0"/>
          <w:sz w:val="32"/>
          <w:szCs w:val="32"/>
        </w:rPr>
        <w:t>增加</w:t>
      </w:r>
      <w:r>
        <w:rPr>
          <w:rFonts w:ascii="仿宋_GB2312" w:hAnsi="仿宋_GB2312" w:eastAsia="仿宋_GB2312" w:cs="仿宋_GB2312"/>
          <w:spacing w:val="0"/>
          <w:kern w:val="0"/>
          <w:sz w:val="32"/>
          <w:szCs w:val="32"/>
        </w:rPr>
        <w:t>3.59万元，</w:t>
      </w:r>
      <w:r>
        <w:rPr>
          <w:rFonts w:ascii="仿宋_GB2312" w:hAnsi="仿宋_GB2312" w:eastAsia="仿宋_GB2312" w:cs="仿宋_GB2312"/>
          <w:kern w:val="0"/>
          <w:sz w:val="32"/>
          <w:szCs w:val="32"/>
        </w:rPr>
        <w:t>增长</w:t>
      </w:r>
      <w:r>
        <w:rPr>
          <w:rFonts w:ascii="仿宋_GB2312" w:hAnsi="仿宋_GB2312" w:eastAsia="仿宋_GB2312" w:cs="仿宋_GB2312"/>
          <w:spacing w:val="0"/>
          <w:kern w:val="0"/>
          <w:sz w:val="32"/>
          <w:szCs w:val="32"/>
        </w:rPr>
        <w:t>7.4</w:t>
      </w:r>
      <w:r>
        <w:rPr>
          <w:rFonts w:hint="eastAsia" w:ascii="仿宋_GB2312" w:hAnsi="仿宋_GB2312" w:eastAsia="仿宋_GB2312" w:cs="仿宋_GB2312"/>
          <w:spacing w:val="0"/>
          <w:kern w:val="0"/>
          <w:sz w:val="32"/>
          <w:szCs w:val="32"/>
          <w:lang w:val="en-US" w:eastAsia="zh-CN"/>
        </w:rPr>
        <w:t>6</w:t>
      </w:r>
      <w:r>
        <w:rPr>
          <w:rFonts w:ascii="仿宋_GB2312" w:hAnsi="仿宋_GB2312" w:eastAsia="仿宋_GB2312" w:cs="仿宋_GB2312"/>
          <w:spacing w:val="0"/>
          <w:kern w:val="0"/>
          <w:sz w:val="32"/>
          <w:szCs w:val="32"/>
        </w:rPr>
        <w:t>%，具体情况如下：</w:t>
      </w:r>
    </w:p>
    <w:p w14:paraId="5A9B347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1.一般公共预算财政拨款收入51.70万元。</w:t>
      </w:r>
    </w:p>
    <w:p w14:paraId="3B63565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2.政府性基金预算财政拨款收入0万元。</w:t>
      </w:r>
    </w:p>
    <w:p w14:paraId="20FBEF1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3.国有资本经营预算财政拨款收入0万元。</w:t>
      </w:r>
    </w:p>
    <w:p w14:paraId="46DB3D2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4.上级补助收入0万元。</w:t>
      </w:r>
    </w:p>
    <w:p w14:paraId="1365AF6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5.事业收入0万元。</w:t>
      </w:r>
    </w:p>
    <w:p w14:paraId="0F3160C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6.经营收入0万元。</w:t>
      </w:r>
    </w:p>
    <w:p w14:paraId="58A04C14">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7.附属单位上缴收入0万元。</w:t>
      </w:r>
    </w:p>
    <w:p w14:paraId="7A55469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8.其他收入0万元。</w:t>
      </w:r>
    </w:p>
    <w:p w14:paraId="2B7035B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楷体_GB2312" w:hAnsi="楷体_GB2312" w:eastAsia="楷体_GB2312" w:cs="楷体_GB2312"/>
          <w:b/>
          <w:bCs/>
          <w:spacing w:val="0"/>
          <w:kern w:val="0"/>
          <w:sz w:val="32"/>
          <w:szCs w:val="32"/>
        </w:rPr>
        <w:t>（三）支出决算情况说明</w:t>
      </w:r>
    </w:p>
    <w:p w14:paraId="5543C57F">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2024年度支出51.70万元，比上年决算数增加3.59万元，增长7.4</w:t>
      </w:r>
      <w:r>
        <w:rPr>
          <w:rFonts w:hint="eastAsia" w:ascii="仿宋_GB2312" w:hAnsi="仿宋_GB2312" w:eastAsia="仿宋_GB2312" w:cs="仿宋_GB2312"/>
          <w:spacing w:val="0"/>
          <w:kern w:val="0"/>
          <w:sz w:val="32"/>
          <w:szCs w:val="32"/>
          <w:lang w:val="en-US" w:eastAsia="zh-CN"/>
        </w:rPr>
        <w:t>6</w:t>
      </w:r>
      <w:r>
        <w:rPr>
          <w:rFonts w:ascii="仿宋_GB2312" w:hAnsi="仿宋_GB2312" w:eastAsia="仿宋_GB2312" w:cs="仿宋_GB2312"/>
          <w:spacing w:val="0"/>
          <w:kern w:val="0"/>
          <w:sz w:val="32"/>
          <w:szCs w:val="32"/>
        </w:rPr>
        <w:t>%，具体情况如下：</w:t>
      </w:r>
    </w:p>
    <w:p w14:paraId="324A06E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1.基本支出51.70万元。其中，人员支出50.92万元，公用支出0.78万元。</w:t>
      </w:r>
    </w:p>
    <w:p w14:paraId="3EA6607E">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2.项目支出0万元。</w:t>
      </w:r>
    </w:p>
    <w:p w14:paraId="5AE9240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3.上缴上级支出0万元。</w:t>
      </w:r>
    </w:p>
    <w:p w14:paraId="4BE8C76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4.经营支出0万元。</w:t>
      </w:r>
    </w:p>
    <w:p w14:paraId="75905D1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5.对附属单位补助支出0万元。</w:t>
      </w:r>
    </w:p>
    <w:p w14:paraId="79695C92">
      <w:pPr>
        <w:pStyle w:val="5"/>
        <w:keepNext w:val="0"/>
        <w:keepLines w:val="0"/>
        <w:spacing w:before="100" w:after="100" w:line="240" w:lineRule="auto"/>
        <w:ind w:left="100" w:right="100" w:firstLine="640" w:firstLineChars="0"/>
        <w:rPr>
          <w:rFonts w:ascii="Times New Roman" w:hAnsi="Times New Roman" w:eastAsia="Times New Roman" w:cs="Times New Roman"/>
          <w:b/>
          <w:bCs/>
          <w:kern w:val="0"/>
          <w:sz w:val="28"/>
          <w:szCs w:val="28"/>
        </w:rPr>
      </w:pPr>
      <w:bookmarkStart w:id="91" w:name="_Toc256000065"/>
      <w:bookmarkStart w:id="92" w:name="_Toc256000090"/>
      <w:bookmarkStart w:id="93" w:name="_Toc256000115"/>
      <w:bookmarkStart w:id="94" w:name="_Toc256000015"/>
      <w:bookmarkStart w:id="95" w:name="_Toc256000040"/>
      <w:bookmarkStart w:id="96" w:name="_Toc256000140"/>
      <w:r>
        <w:rPr>
          <w:rFonts w:ascii="黑体" w:hAnsi="黑体" w:eastAsia="黑体" w:cs="黑体"/>
          <w:b w:val="0"/>
          <w:bCs w:val="0"/>
          <w:spacing w:val="0"/>
        </w:rPr>
        <w:t>二、财政拨款收入支出决算总体情况说明</w:t>
      </w:r>
      <w:bookmarkEnd w:id="91"/>
      <w:bookmarkEnd w:id="92"/>
      <w:bookmarkEnd w:id="93"/>
      <w:bookmarkEnd w:id="94"/>
      <w:bookmarkEnd w:id="95"/>
      <w:bookmarkEnd w:id="96"/>
    </w:p>
    <w:p w14:paraId="61A3A1C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2024年度财政拨款收入总计51.70万元，支出总计51.70万元，与上年决算数相比，各增加3.59万元，增长7.4</w:t>
      </w:r>
      <w:r>
        <w:rPr>
          <w:rFonts w:hint="eastAsia" w:ascii="仿宋_GB2312" w:hAnsi="仿宋_GB2312" w:eastAsia="仿宋_GB2312" w:cs="仿宋_GB2312"/>
          <w:spacing w:val="0"/>
          <w:kern w:val="0"/>
          <w:sz w:val="32"/>
          <w:szCs w:val="32"/>
          <w:lang w:val="en-US" w:eastAsia="zh-CN"/>
        </w:rPr>
        <w:t>6</w:t>
      </w:r>
      <w:r>
        <w:rPr>
          <w:rFonts w:ascii="仿宋_GB2312" w:hAnsi="仿宋_GB2312" w:eastAsia="仿宋_GB2312" w:cs="仿宋_GB2312"/>
          <w:spacing w:val="0"/>
          <w:kern w:val="0"/>
          <w:sz w:val="32"/>
          <w:szCs w:val="32"/>
        </w:rPr>
        <w:t>%，主要是：人员支出增加，相应增加财政拨款收入。</w:t>
      </w:r>
    </w:p>
    <w:p w14:paraId="69652B7C">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97" w:name="_Toc256000066"/>
      <w:bookmarkStart w:id="98" w:name="_Toc256000116"/>
      <w:bookmarkStart w:id="99" w:name="_Toc256000141"/>
      <w:bookmarkStart w:id="100" w:name="_Toc256000041"/>
      <w:bookmarkStart w:id="101" w:name="_Toc256000016"/>
      <w:bookmarkStart w:id="102" w:name="_Toc256000091"/>
      <w:r>
        <w:rPr>
          <w:rFonts w:ascii="黑体" w:hAnsi="黑体" w:eastAsia="黑体" w:cs="黑体"/>
          <w:b w:val="0"/>
          <w:bCs w:val="0"/>
          <w:spacing w:val="0"/>
        </w:rPr>
        <w:t>三、一般公共预算财政拨款支出决算情况说明</w:t>
      </w:r>
      <w:bookmarkEnd w:id="97"/>
      <w:bookmarkEnd w:id="98"/>
      <w:bookmarkEnd w:id="99"/>
      <w:bookmarkEnd w:id="100"/>
      <w:bookmarkEnd w:id="101"/>
      <w:bookmarkEnd w:id="102"/>
    </w:p>
    <w:p w14:paraId="25DB9AB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2024年一般公共预算财政拨款支出51.70万元，比上年决算数增加3.59万元，增长7.4</w:t>
      </w:r>
      <w:r>
        <w:rPr>
          <w:rFonts w:hint="eastAsia" w:ascii="仿宋_GB2312" w:hAnsi="仿宋_GB2312" w:eastAsia="仿宋_GB2312" w:cs="仿宋_GB2312"/>
          <w:spacing w:val="0"/>
          <w:kern w:val="0"/>
          <w:sz w:val="32"/>
          <w:szCs w:val="32"/>
          <w:lang w:val="en-US" w:eastAsia="zh-CN"/>
        </w:rPr>
        <w:t>6</w:t>
      </w:r>
      <w:r>
        <w:rPr>
          <w:rFonts w:ascii="仿宋_GB2312" w:hAnsi="仿宋_GB2312" w:eastAsia="仿宋_GB2312" w:cs="仿宋_GB2312"/>
          <w:spacing w:val="0"/>
          <w:kern w:val="0"/>
          <w:sz w:val="32"/>
          <w:szCs w:val="32"/>
        </w:rPr>
        <w:t>%，具体情况如下(按</w:t>
      </w:r>
      <w:r>
        <w:rPr>
          <w:rStyle w:val="30"/>
          <w:rFonts w:ascii="仿宋_GB2312" w:hAnsi="仿宋_GB2312" w:eastAsia="仿宋_GB2312" w:cs="仿宋_GB2312"/>
          <w:b/>
          <w:bCs/>
          <w:spacing w:val="0"/>
          <w:kern w:val="0"/>
          <w:sz w:val="32"/>
          <w:szCs w:val="32"/>
        </w:rPr>
        <w:t>项级科目</w:t>
      </w:r>
      <w:r>
        <w:rPr>
          <w:rFonts w:ascii="仿宋_GB2312" w:hAnsi="仿宋_GB2312" w:eastAsia="仿宋_GB2312" w:cs="仿宋_GB2312"/>
          <w:spacing w:val="0"/>
          <w:kern w:val="0"/>
          <w:sz w:val="32"/>
          <w:szCs w:val="32"/>
        </w:rPr>
        <w:t>分类统计)：</w:t>
      </w:r>
    </w:p>
    <w:p w14:paraId="3AAC9047">
      <w:pPr>
        <w:pStyle w:val="28"/>
        <w:widowControl/>
        <w:spacing w:before="100" w:after="100" w:line="560" w:lineRule="atLeast"/>
        <w:ind w:left="100" w:right="100" w:firstLine="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  （一）2050802 干部教育 38.01万元，较上年决算数减少5.71万元，下降13.0</w:t>
      </w:r>
      <w:r>
        <w:rPr>
          <w:rFonts w:hint="eastAsia" w:ascii="仿宋_GB2312" w:hAnsi="仿宋_GB2312" w:eastAsia="仿宋_GB2312" w:cs="仿宋_GB2312"/>
          <w:spacing w:val="0"/>
          <w:kern w:val="0"/>
          <w:sz w:val="32"/>
          <w:szCs w:val="32"/>
          <w:lang w:val="en-US" w:eastAsia="zh-CN"/>
        </w:rPr>
        <w:t>6</w:t>
      </w:r>
      <w:r>
        <w:rPr>
          <w:rFonts w:ascii="仿宋_GB2312" w:hAnsi="仿宋_GB2312" w:eastAsia="仿宋_GB2312" w:cs="仿宋_GB2312"/>
          <w:spacing w:val="0"/>
          <w:kern w:val="0"/>
          <w:sz w:val="32"/>
          <w:szCs w:val="32"/>
        </w:rPr>
        <w:t>%。主要原因是人员支出科目调整。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  （二）2080505 机关事业单位基本养老保险缴费支出 6.26万元，较上年决算数增加3.58万元，增长133.</w:t>
      </w:r>
      <w:r>
        <w:rPr>
          <w:rFonts w:hint="eastAsia" w:ascii="仿宋_GB2312" w:hAnsi="仿宋_GB2312" w:eastAsia="仿宋_GB2312" w:cs="仿宋_GB2312"/>
          <w:spacing w:val="0"/>
          <w:kern w:val="0"/>
          <w:sz w:val="32"/>
          <w:szCs w:val="32"/>
          <w:lang w:val="en-US" w:eastAsia="zh-CN"/>
        </w:rPr>
        <w:t>58</w:t>
      </w:r>
      <w:r>
        <w:rPr>
          <w:rFonts w:ascii="仿宋_GB2312" w:hAnsi="仿宋_GB2312" w:eastAsia="仿宋_GB2312" w:cs="仿宋_GB2312"/>
          <w:spacing w:val="0"/>
          <w:kern w:val="0"/>
          <w:sz w:val="32"/>
          <w:szCs w:val="32"/>
        </w:rPr>
        <w:t>%。主要原因是缴费基数调整。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  （三）2089999 其他社会保障和就业支出 0.46万元，较上年决算数增加0.46万元。主要原因是缴费基数调整。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  （四）2101102 事业单位医疗 1.35万元，较上年决算数增加0.58万元，增长75.</w:t>
      </w:r>
      <w:r>
        <w:rPr>
          <w:rFonts w:hint="eastAsia" w:ascii="仿宋_GB2312" w:hAnsi="仿宋_GB2312" w:eastAsia="仿宋_GB2312" w:cs="仿宋_GB2312"/>
          <w:spacing w:val="0"/>
          <w:kern w:val="0"/>
          <w:sz w:val="32"/>
          <w:szCs w:val="32"/>
          <w:lang w:val="en-US" w:eastAsia="zh-CN"/>
        </w:rPr>
        <w:t>33</w:t>
      </w:r>
      <w:r>
        <w:rPr>
          <w:rFonts w:ascii="仿宋_GB2312" w:hAnsi="仿宋_GB2312" w:eastAsia="仿宋_GB2312" w:cs="仿宋_GB2312"/>
          <w:spacing w:val="0"/>
          <w:kern w:val="0"/>
          <w:sz w:val="32"/>
          <w:szCs w:val="32"/>
        </w:rPr>
        <w:t>%。主要原因是缴费基数调整。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  （五）2101103 公务员医疗补助 0.93万元，较上年决算数减少0.01万元，下降1.</w:t>
      </w:r>
      <w:r>
        <w:rPr>
          <w:rFonts w:hint="eastAsia" w:ascii="仿宋_GB2312" w:hAnsi="仿宋_GB2312" w:eastAsia="仿宋_GB2312" w:cs="仿宋_GB2312"/>
          <w:spacing w:val="0"/>
          <w:kern w:val="0"/>
          <w:sz w:val="32"/>
          <w:szCs w:val="32"/>
          <w:lang w:val="en-US" w:eastAsia="zh-CN"/>
        </w:rPr>
        <w:t>06</w:t>
      </w:r>
      <w:r>
        <w:rPr>
          <w:rFonts w:ascii="仿宋_GB2312" w:hAnsi="仿宋_GB2312" w:eastAsia="仿宋_GB2312" w:cs="仿宋_GB2312"/>
          <w:spacing w:val="0"/>
          <w:kern w:val="0"/>
          <w:sz w:val="32"/>
          <w:szCs w:val="32"/>
        </w:rPr>
        <w:t>%。主要原因是缴费基数调整。</w:t>
      </w:r>
      <w:r>
        <w:rPr>
          <w:rFonts w:ascii="仿宋_GB2312" w:hAnsi="仿宋_GB2312" w:eastAsia="仿宋_GB2312" w:cs="仿宋_GB2312"/>
          <w:spacing w:val="0"/>
          <w:kern w:val="0"/>
          <w:sz w:val="32"/>
          <w:szCs w:val="32"/>
        </w:rPr>
        <w:br w:type="textWrapping"/>
      </w:r>
      <w:r>
        <w:rPr>
          <w:rFonts w:ascii="仿宋_GB2312" w:hAnsi="仿宋_GB2312" w:eastAsia="仿宋_GB2312" w:cs="仿宋_GB2312"/>
          <w:spacing w:val="0"/>
          <w:kern w:val="0"/>
          <w:sz w:val="32"/>
          <w:szCs w:val="32"/>
        </w:rPr>
        <w:t>  （六）2210201 住房公积金 4.70万元，较上年决算数增加4.70万元。主要原因是人员支出科目调整。</w:t>
      </w:r>
    </w:p>
    <w:p w14:paraId="29BDAED1">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3" w:name="_Toc256000017"/>
      <w:bookmarkStart w:id="104" w:name="_Toc256000117"/>
      <w:bookmarkStart w:id="105" w:name="_Toc256000067"/>
      <w:bookmarkStart w:id="106" w:name="_Toc256000042"/>
      <w:bookmarkStart w:id="107" w:name="_Toc256000092"/>
      <w:bookmarkStart w:id="108" w:name="_Toc256000142"/>
      <w:r>
        <w:rPr>
          <w:rFonts w:ascii="黑体" w:hAnsi="黑体" w:eastAsia="黑体" w:cs="黑体"/>
          <w:b w:val="0"/>
          <w:bCs w:val="0"/>
          <w:spacing w:val="0"/>
        </w:rPr>
        <w:t>四、政府性基金预算财政拨款支出决算情况说明</w:t>
      </w:r>
      <w:bookmarkEnd w:id="103"/>
      <w:bookmarkEnd w:id="104"/>
      <w:bookmarkEnd w:id="105"/>
      <w:bookmarkEnd w:id="106"/>
      <w:bookmarkEnd w:id="107"/>
      <w:bookmarkEnd w:id="108"/>
    </w:p>
    <w:p w14:paraId="049297F5">
      <w:pPr>
        <w:pStyle w:val="28"/>
        <w:keepNext w:val="0"/>
        <w:keepLines w:val="0"/>
        <w:pageBreakBefore w:val="0"/>
        <w:widowControl/>
        <w:kinsoku/>
        <w:wordWrap/>
        <w:overflowPunct/>
        <w:topLinePunct w:val="0"/>
        <w:autoSpaceDE/>
        <w:autoSpaceDN/>
        <w:bidi w:val="0"/>
        <w:adjustRightInd/>
        <w:snapToGrid/>
        <w:spacing w:before="100" w:after="100" w:line="560" w:lineRule="atLeast"/>
        <w:ind w:right="102" w:firstLine="6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32"/>
          <w:szCs w:val="32"/>
        </w:rPr>
        <w:t>本单位2024年度没有使用政府性基金预算财政拨款安排的支出。</w:t>
      </w:r>
    </w:p>
    <w:p w14:paraId="6A23C710">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09" w:name="_Toc256000143"/>
      <w:bookmarkStart w:id="110" w:name="_Toc256000068"/>
      <w:bookmarkStart w:id="111" w:name="_Toc256000118"/>
      <w:bookmarkStart w:id="112" w:name="_Toc256000093"/>
      <w:bookmarkStart w:id="113" w:name="_Toc256000018"/>
      <w:bookmarkStart w:id="114" w:name="_Toc256000043"/>
      <w:r>
        <w:rPr>
          <w:rFonts w:ascii="黑体" w:hAnsi="黑体" w:eastAsia="黑体" w:cs="黑体"/>
          <w:b w:val="0"/>
          <w:bCs w:val="0"/>
          <w:spacing w:val="0"/>
        </w:rPr>
        <w:t>五、国有资本经营预算财政拨款支出决算情况说明</w:t>
      </w:r>
      <w:bookmarkEnd w:id="109"/>
      <w:bookmarkEnd w:id="110"/>
      <w:bookmarkEnd w:id="111"/>
      <w:bookmarkEnd w:id="112"/>
      <w:bookmarkEnd w:id="113"/>
      <w:bookmarkEnd w:id="114"/>
    </w:p>
    <w:p w14:paraId="2FDC8154">
      <w:pPr>
        <w:pStyle w:val="28"/>
        <w:keepNext w:val="0"/>
        <w:keepLines w:val="0"/>
        <w:pageBreakBefore w:val="0"/>
        <w:widowControl/>
        <w:kinsoku/>
        <w:wordWrap/>
        <w:overflowPunct/>
        <w:topLinePunct w:val="0"/>
        <w:autoSpaceDE/>
        <w:autoSpaceDN/>
        <w:bidi w:val="0"/>
        <w:adjustRightInd/>
        <w:snapToGrid/>
        <w:spacing w:before="100" w:after="100" w:line="560" w:lineRule="atLeast"/>
        <w:ind w:left="102" w:right="102" w:firstLine="640" w:firstLineChars="200"/>
        <w:jc w:val="left"/>
        <w:textAlignment w:val="auto"/>
        <w:rPr>
          <w:rFonts w:ascii="Times New Roman" w:hAnsi="Times New Roman" w:eastAsia="Times New Roman" w:cs="Times New Roman"/>
          <w:kern w:val="0"/>
          <w:sz w:val="24"/>
        </w:rPr>
      </w:pPr>
      <w:r>
        <w:rPr>
          <w:rFonts w:ascii="仿宋_GB2312" w:hAnsi="仿宋_GB2312" w:eastAsia="仿宋_GB2312" w:cs="仿宋_GB2312"/>
          <w:kern w:val="0"/>
          <w:sz w:val="32"/>
          <w:szCs w:val="32"/>
        </w:rPr>
        <w:t>本单位2024年度没有使用国有资本经营预算财政拨款安排的支出。</w:t>
      </w:r>
    </w:p>
    <w:p w14:paraId="75776A0E">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15" w:name="_Toc256000144"/>
      <w:bookmarkStart w:id="116" w:name="_Toc256000069"/>
      <w:bookmarkStart w:id="117" w:name="_Toc256000119"/>
      <w:bookmarkStart w:id="118" w:name="_Toc256000094"/>
      <w:bookmarkStart w:id="119" w:name="_Toc256000044"/>
      <w:bookmarkStart w:id="120" w:name="_Toc256000019"/>
      <w:r>
        <w:rPr>
          <w:rFonts w:ascii="黑体" w:hAnsi="黑体" w:eastAsia="黑体" w:cs="黑体"/>
          <w:b w:val="0"/>
          <w:bCs w:val="0"/>
          <w:spacing w:val="0"/>
        </w:rPr>
        <w:t>六、一般公共预算财政拨款基本支出决算情况说明</w:t>
      </w:r>
      <w:bookmarkEnd w:id="115"/>
      <w:bookmarkEnd w:id="116"/>
      <w:bookmarkEnd w:id="117"/>
      <w:bookmarkEnd w:id="118"/>
      <w:bookmarkEnd w:id="119"/>
      <w:bookmarkEnd w:id="120"/>
    </w:p>
    <w:p w14:paraId="1A4E6AB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2024年度一般公共预算财政拨款基本支出51.70万元，其中：</w:t>
      </w:r>
    </w:p>
    <w:p w14:paraId="7B77635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人员经费50.92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73106233">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用经费0.78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478E3919">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1" w:name="_Toc256000070"/>
      <w:bookmarkStart w:id="122" w:name="_Toc256000145"/>
      <w:bookmarkStart w:id="123" w:name="_Toc256000120"/>
      <w:bookmarkStart w:id="124" w:name="_Toc256000095"/>
      <w:bookmarkStart w:id="125" w:name="_Toc256000045"/>
      <w:bookmarkStart w:id="126" w:name="_Toc256000020"/>
      <w:r>
        <w:rPr>
          <w:rFonts w:ascii="黑体" w:hAnsi="黑体" w:eastAsia="黑体" w:cs="黑体"/>
          <w:b w:val="0"/>
          <w:bCs w:val="0"/>
          <w:spacing w:val="0"/>
        </w:rPr>
        <w:t>七、一般公共预算拨款“三公”经费支出决算情况说明</w:t>
      </w:r>
      <w:bookmarkEnd w:id="121"/>
      <w:bookmarkEnd w:id="122"/>
      <w:bookmarkEnd w:id="123"/>
      <w:bookmarkEnd w:id="124"/>
      <w:bookmarkEnd w:id="125"/>
      <w:bookmarkEnd w:id="126"/>
    </w:p>
    <w:p w14:paraId="4703CBD8">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2024年度一般公共预算拨款“三公”经费支出0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与全年预算数0.00万元持平</w:t>
      </w:r>
      <w:r>
        <w:rPr>
          <w:rFonts w:ascii="仿宋_GB2312" w:hAnsi="仿宋_GB2312" w:eastAsia="仿宋_GB2312" w:cs="仿宋_GB2312"/>
          <w:spacing w:val="0"/>
          <w:kern w:val="0"/>
          <w:sz w:val="32"/>
          <w:szCs w:val="32"/>
        </w:rPr>
        <w:t>；较上年</w:t>
      </w:r>
      <w:r>
        <w:rPr>
          <w:rFonts w:hint="eastAsia" w:ascii="仿宋_GB2312" w:hAnsi="仿宋_GB2312" w:eastAsia="仿宋_GB2312" w:cs="仿宋_GB2312"/>
          <w:spacing w:val="0"/>
          <w:kern w:val="0"/>
          <w:sz w:val="32"/>
          <w:szCs w:val="32"/>
          <w:lang w:val="en-US" w:eastAsia="zh-CN"/>
        </w:rPr>
        <w:t>决算数</w:t>
      </w:r>
      <w:r>
        <w:rPr>
          <w:rFonts w:ascii="仿宋_GB2312" w:hAnsi="仿宋_GB2312" w:eastAsia="仿宋_GB2312" w:cs="仿宋_GB2312"/>
          <w:spacing w:val="0"/>
          <w:kern w:val="0"/>
          <w:sz w:val="32"/>
          <w:szCs w:val="32"/>
        </w:rPr>
        <w:t>增加0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与上年决算数持平</w:t>
      </w:r>
      <w:r>
        <w:rPr>
          <w:rFonts w:ascii="仿宋_GB2312" w:hAnsi="仿宋_GB2312" w:eastAsia="仿宋_GB2312" w:cs="仿宋_GB2312"/>
          <w:spacing w:val="0"/>
          <w:kern w:val="0"/>
          <w:sz w:val="32"/>
          <w:szCs w:val="32"/>
        </w:rPr>
        <w:t>。主要原因是</w:t>
      </w:r>
      <w:r>
        <w:rPr>
          <w:rFonts w:hint="eastAsia" w:ascii="仿宋_GB2312" w:hAnsi="仿宋_GB2312" w:eastAsia="仿宋_GB2312" w:cs="仿宋_GB2312"/>
          <w:spacing w:val="0"/>
          <w:kern w:val="0"/>
          <w:sz w:val="32"/>
          <w:szCs w:val="32"/>
        </w:rPr>
        <w:t>本单位本年度无一般公共预算财政拨款“三公”经费支出</w:t>
      </w:r>
      <w:r>
        <w:rPr>
          <w:rFonts w:ascii="仿宋_GB2312" w:hAnsi="仿宋_GB2312" w:eastAsia="仿宋_GB2312" w:cs="仿宋_GB2312"/>
          <w:kern w:val="0"/>
          <w:sz w:val="32"/>
          <w:szCs w:val="32"/>
        </w:rPr>
        <w:t>。</w:t>
      </w:r>
      <w:r>
        <w:rPr>
          <w:rFonts w:ascii="仿宋_GB2312" w:hAnsi="仿宋_GB2312" w:eastAsia="仿宋_GB2312" w:cs="仿宋_GB2312"/>
          <w:spacing w:val="0"/>
          <w:kern w:val="0"/>
          <w:sz w:val="32"/>
          <w:szCs w:val="32"/>
        </w:rPr>
        <w:t>具体情况如下：</w:t>
      </w:r>
    </w:p>
    <w:p w14:paraId="588F1C0A">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（一）因公出国（境）费支出0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与全年预算数0.00万元持平</w:t>
      </w:r>
      <w:r>
        <w:rPr>
          <w:rFonts w:ascii="仿宋_GB2312" w:hAnsi="仿宋_GB2312" w:eastAsia="仿宋_GB2312" w:cs="仿宋_GB2312"/>
          <w:spacing w:val="0"/>
          <w:kern w:val="0"/>
          <w:sz w:val="32"/>
          <w:szCs w:val="32"/>
        </w:rPr>
        <w:t>；较上年</w:t>
      </w:r>
      <w:r>
        <w:rPr>
          <w:rFonts w:hint="eastAsia" w:ascii="仿宋_GB2312" w:hAnsi="仿宋_GB2312" w:eastAsia="仿宋_GB2312" w:cs="仿宋_GB2312"/>
          <w:spacing w:val="0"/>
          <w:kern w:val="0"/>
          <w:sz w:val="32"/>
          <w:szCs w:val="32"/>
          <w:lang w:val="en-US" w:eastAsia="zh-CN"/>
        </w:rPr>
        <w:t>决算数</w:t>
      </w:r>
      <w:r>
        <w:rPr>
          <w:rFonts w:ascii="仿宋_GB2312" w:hAnsi="仿宋_GB2312" w:eastAsia="仿宋_GB2312" w:cs="仿宋_GB2312"/>
          <w:spacing w:val="0"/>
          <w:kern w:val="0"/>
          <w:sz w:val="32"/>
          <w:szCs w:val="32"/>
        </w:rPr>
        <w:t>增加0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与上年决算数持平</w:t>
      </w:r>
      <w:r>
        <w:rPr>
          <w:rFonts w:ascii="仿宋_GB2312" w:hAnsi="仿宋_GB2312" w:eastAsia="仿宋_GB2312" w:cs="仿宋_GB2312"/>
          <w:spacing w:val="0"/>
          <w:kern w:val="0"/>
          <w:sz w:val="32"/>
          <w:szCs w:val="32"/>
        </w:rPr>
        <w:t>。全年安排本单位组织的出国团组0个，参加其他单位出国团组0个；全年因公出国（境）累计0 人次。主要是未安排因公出国(境)活动。</w:t>
      </w:r>
    </w:p>
    <w:p w14:paraId="2EC80E9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（二）公务用车购置及运行费支出0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与全年预算数0.00万元持平</w:t>
      </w:r>
      <w:r>
        <w:rPr>
          <w:rFonts w:ascii="仿宋_GB2312" w:hAnsi="仿宋_GB2312" w:eastAsia="仿宋_GB2312" w:cs="仿宋_GB2312"/>
          <w:spacing w:val="0"/>
          <w:kern w:val="0"/>
          <w:sz w:val="32"/>
          <w:szCs w:val="32"/>
        </w:rPr>
        <w:t>；较上年</w:t>
      </w:r>
      <w:r>
        <w:rPr>
          <w:rFonts w:hint="eastAsia" w:ascii="仿宋_GB2312" w:hAnsi="仿宋_GB2312" w:eastAsia="仿宋_GB2312" w:cs="仿宋_GB2312"/>
          <w:spacing w:val="0"/>
          <w:kern w:val="0"/>
          <w:sz w:val="32"/>
          <w:szCs w:val="32"/>
          <w:lang w:val="en-US" w:eastAsia="zh-CN"/>
        </w:rPr>
        <w:t>决算数</w:t>
      </w:r>
      <w:r>
        <w:rPr>
          <w:rFonts w:ascii="仿宋_GB2312" w:hAnsi="仿宋_GB2312" w:eastAsia="仿宋_GB2312" w:cs="仿宋_GB2312"/>
          <w:spacing w:val="0"/>
          <w:kern w:val="0"/>
          <w:sz w:val="32"/>
          <w:szCs w:val="32"/>
        </w:rPr>
        <w:t>增加0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与上年决算数持平</w:t>
      </w:r>
      <w:r>
        <w:rPr>
          <w:rFonts w:ascii="仿宋_GB2312" w:hAnsi="仿宋_GB2312" w:eastAsia="仿宋_GB2312" w:cs="仿宋_GB2312"/>
          <w:kern w:val="0"/>
          <w:sz w:val="32"/>
          <w:szCs w:val="32"/>
        </w:rPr>
        <w:t>。其中：</w:t>
      </w:r>
    </w:p>
    <w:p w14:paraId="5EE914B9">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公务用车购置费支出0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与全年预算数0.00万元持平</w:t>
      </w:r>
      <w:r>
        <w:rPr>
          <w:rFonts w:ascii="仿宋_GB2312" w:hAnsi="仿宋_GB2312" w:eastAsia="仿宋_GB2312" w:cs="仿宋_GB2312"/>
          <w:spacing w:val="0"/>
          <w:kern w:val="0"/>
          <w:sz w:val="32"/>
          <w:szCs w:val="32"/>
        </w:rPr>
        <w:t>；较上年</w:t>
      </w:r>
      <w:r>
        <w:rPr>
          <w:rFonts w:hint="eastAsia" w:ascii="仿宋_GB2312" w:hAnsi="仿宋_GB2312" w:eastAsia="仿宋_GB2312" w:cs="仿宋_GB2312"/>
          <w:spacing w:val="0"/>
          <w:kern w:val="0"/>
          <w:sz w:val="32"/>
          <w:szCs w:val="32"/>
          <w:lang w:val="en-US" w:eastAsia="zh-CN"/>
        </w:rPr>
        <w:t>决算数</w:t>
      </w:r>
      <w:r>
        <w:rPr>
          <w:rFonts w:ascii="仿宋_GB2312" w:hAnsi="仿宋_GB2312" w:eastAsia="仿宋_GB2312" w:cs="仿宋_GB2312"/>
          <w:spacing w:val="0"/>
          <w:kern w:val="0"/>
          <w:sz w:val="32"/>
          <w:szCs w:val="32"/>
        </w:rPr>
        <w:t>增加0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与上年决算数持平</w:t>
      </w:r>
      <w:r>
        <w:rPr>
          <w:rFonts w:ascii="仿宋_GB2312" w:hAnsi="仿宋_GB2312" w:eastAsia="仿宋_GB2312" w:cs="仿宋_GB2312"/>
          <w:spacing w:val="0"/>
          <w:kern w:val="0"/>
          <w:sz w:val="32"/>
          <w:szCs w:val="32"/>
        </w:rPr>
        <w:t>。2024年公务用车购置0辆，主要</w:t>
      </w:r>
      <w:r>
        <w:rPr>
          <w:rFonts w:hint="eastAsia" w:ascii="仿宋_GB2312" w:hAnsi="仿宋_GB2312" w:eastAsia="仿宋_GB2312" w:cs="仿宋_GB2312"/>
          <w:spacing w:val="0"/>
          <w:kern w:val="0"/>
          <w:sz w:val="32"/>
          <w:szCs w:val="32"/>
          <w:lang w:val="en-US" w:eastAsia="zh-CN"/>
        </w:rPr>
        <w:t>原因</w:t>
      </w:r>
      <w:r>
        <w:rPr>
          <w:rFonts w:ascii="仿宋_GB2312" w:hAnsi="仿宋_GB2312" w:eastAsia="仿宋_GB2312" w:cs="仿宋_GB2312"/>
          <w:spacing w:val="0"/>
          <w:kern w:val="0"/>
          <w:sz w:val="32"/>
          <w:szCs w:val="32"/>
        </w:rPr>
        <w:t>是:未安排公务用车购置。</w:t>
      </w:r>
    </w:p>
    <w:p w14:paraId="1768D6C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公务用车运行费支出0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与全年预算数0.00万元持平</w:t>
      </w:r>
      <w:r>
        <w:rPr>
          <w:rFonts w:ascii="仿宋_GB2312" w:hAnsi="仿宋_GB2312" w:eastAsia="仿宋_GB2312" w:cs="仿宋_GB2312"/>
          <w:spacing w:val="0"/>
          <w:kern w:val="0"/>
          <w:sz w:val="32"/>
          <w:szCs w:val="32"/>
        </w:rPr>
        <w:t>；较上年</w:t>
      </w:r>
      <w:r>
        <w:rPr>
          <w:rFonts w:hint="eastAsia" w:ascii="仿宋_GB2312" w:hAnsi="仿宋_GB2312" w:eastAsia="仿宋_GB2312" w:cs="仿宋_GB2312"/>
          <w:spacing w:val="0"/>
          <w:kern w:val="0"/>
          <w:sz w:val="32"/>
          <w:szCs w:val="32"/>
          <w:lang w:val="en-US" w:eastAsia="zh-CN"/>
        </w:rPr>
        <w:t>决算数</w:t>
      </w:r>
      <w:r>
        <w:rPr>
          <w:rFonts w:ascii="仿宋_GB2312" w:hAnsi="仿宋_GB2312" w:eastAsia="仿宋_GB2312" w:cs="仿宋_GB2312"/>
          <w:spacing w:val="0"/>
          <w:kern w:val="0"/>
          <w:sz w:val="32"/>
          <w:szCs w:val="32"/>
        </w:rPr>
        <w:t>增加0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与上年决算数持平</w:t>
      </w:r>
      <w:r>
        <w:rPr>
          <w:rFonts w:ascii="仿宋_GB2312" w:hAnsi="仿宋_GB2312" w:eastAsia="仿宋_GB2312" w:cs="仿宋_GB2312"/>
          <w:spacing w:val="0"/>
          <w:kern w:val="0"/>
          <w:sz w:val="32"/>
          <w:szCs w:val="32"/>
        </w:rPr>
        <w:t>。主要是</w:t>
      </w:r>
      <w:r>
        <w:rPr>
          <w:rFonts w:hint="eastAsia" w:ascii="仿宋_GB2312" w:hAnsi="仿宋_GB2312" w:eastAsia="仿宋_GB2312" w:cs="仿宋_GB2312"/>
          <w:spacing w:val="0"/>
          <w:kern w:val="0"/>
          <w:sz w:val="32"/>
          <w:szCs w:val="32"/>
          <w:lang w:val="en-US" w:eastAsia="zh-CN"/>
        </w:rPr>
        <w:t>本单位无公务车辆</w:t>
      </w:r>
      <w:r>
        <w:rPr>
          <w:rFonts w:ascii="仿宋_GB2312" w:hAnsi="仿宋_GB2312" w:eastAsia="仿宋_GB2312" w:cs="仿宋_GB2312"/>
          <w:spacing w:val="0"/>
          <w:kern w:val="0"/>
          <w:sz w:val="32"/>
          <w:szCs w:val="32"/>
        </w:rPr>
        <w:t>。截至2024年12月31日，本单位公务用车保有量为0辆。</w:t>
      </w:r>
    </w:p>
    <w:p w14:paraId="4E3EFF4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（三）公务接待费支出0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与全年预算数0.00万元持平</w:t>
      </w:r>
      <w:r>
        <w:rPr>
          <w:rFonts w:ascii="仿宋_GB2312" w:hAnsi="仿宋_GB2312" w:eastAsia="仿宋_GB2312" w:cs="仿宋_GB2312"/>
          <w:spacing w:val="0"/>
          <w:kern w:val="0"/>
          <w:sz w:val="32"/>
          <w:szCs w:val="32"/>
        </w:rPr>
        <w:t>；较上年</w:t>
      </w:r>
      <w:r>
        <w:rPr>
          <w:rFonts w:hint="eastAsia" w:ascii="仿宋_GB2312" w:hAnsi="仿宋_GB2312" w:eastAsia="仿宋_GB2312" w:cs="仿宋_GB2312"/>
          <w:spacing w:val="0"/>
          <w:kern w:val="0"/>
          <w:sz w:val="32"/>
          <w:szCs w:val="32"/>
          <w:lang w:val="en-US" w:eastAsia="zh-CN"/>
        </w:rPr>
        <w:t>决算数</w:t>
      </w:r>
      <w:r>
        <w:rPr>
          <w:rFonts w:ascii="仿宋_GB2312" w:hAnsi="仿宋_GB2312" w:eastAsia="仿宋_GB2312" w:cs="仿宋_GB2312"/>
          <w:spacing w:val="0"/>
          <w:kern w:val="0"/>
          <w:sz w:val="32"/>
          <w:szCs w:val="32"/>
        </w:rPr>
        <w:t>增加0</w:t>
      </w:r>
      <w:r>
        <w:rPr>
          <w:rFonts w:hint="eastAsia" w:ascii="仿宋_GB2312" w:hAnsi="仿宋_GB2312" w:eastAsia="仿宋_GB2312" w:cs="仿宋_GB2312"/>
          <w:spacing w:val="0"/>
          <w:kern w:val="0"/>
          <w:sz w:val="32"/>
          <w:szCs w:val="32"/>
          <w:lang w:val="en-US" w:eastAsia="zh-CN"/>
        </w:rPr>
        <w:t>.00</w:t>
      </w:r>
      <w:r>
        <w:rPr>
          <w:rFonts w:ascii="仿宋_GB2312" w:hAnsi="仿宋_GB2312" w:eastAsia="仿宋_GB2312" w:cs="仿宋_GB2312"/>
          <w:spacing w:val="0"/>
          <w:kern w:val="0"/>
          <w:sz w:val="32"/>
          <w:szCs w:val="32"/>
        </w:rPr>
        <w:t>万元，</w:t>
      </w:r>
      <w:r>
        <w:rPr>
          <w:rFonts w:hint="eastAsia" w:ascii="仿宋_GB2312" w:hAnsi="仿宋_GB2312" w:eastAsia="仿宋_GB2312" w:cs="仿宋_GB2312"/>
          <w:spacing w:val="0"/>
          <w:kern w:val="0"/>
          <w:sz w:val="32"/>
          <w:szCs w:val="32"/>
          <w:lang w:val="en-US" w:eastAsia="zh-CN"/>
        </w:rPr>
        <w:t>与上年决算数持平</w:t>
      </w:r>
      <w:r>
        <w:rPr>
          <w:rFonts w:ascii="仿宋_GB2312" w:hAnsi="仿宋_GB2312" w:eastAsia="仿宋_GB2312" w:cs="仿宋_GB2312"/>
          <w:spacing w:val="0"/>
          <w:kern w:val="0"/>
          <w:sz w:val="32"/>
          <w:szCs w:val="32"/>
        </w:rPr>
        <w:t>。主要</w:t>
      </w:r>
      <w:r>
        <w:rPr>
          <w:rFonts w:hint="eastAsia" w:ascii="仿宋_GB2312" w:hAnsi="仿宋_GB2312" w:eastAsia="仿宋_GB2312" w:cs="仿宋_GB2312"/>
          <w:spacing w:val="0"/>
          <w:kern w:val="0"/>
          <w:sz w:val="32"/>
          <w:szCs w:val="32"/>
          <w:lang w:val="en-US" w:eastAsia="zh-CN"/>
        </w:rPr>
        <w:t>原因</w:t>
      </w:r>
      <w:r>
        <w:rPr>
          <w:rFonts w:ascii="仿宋_GB2312" w:hAnsi="仿宋_GB2312" w:eastAsia="仿宋_GB2312" w:cs="仿宋_GB2312"/>
          <w:spacing w:val="0"/>
          <w:kern w:val="0"/>
          <w:sz w:val="32"/>
          <w:szCs w:val="32"/>
        </w:rPr>
        <w:t>是</w:t>
      </w:r>
      <w:r>
        <w:rPr>
          <w:rFonts w:hint="eastAsia" w:ascii="仿宋_GB2312" w:hAnsi="仿宋_GB2312" w:eastAsia="仿宋_GB2312" w:cs="仿宋_GB2312"/>
          <w:spacing w:val="0"/>
          <w:kern w:val="0"/>
          <w:sz w:val="32"/>
          <w:szCs w:val="32"/>
          <w:lang w:val="en-US" w:eastAsia="zh-CN"/>
        </w:rPr>
        <w:t>本单位</w:t>
      </w:r>
      <w:r>
        <w:rPr>
          <w:rFonts w:ascii="仿宋_GB2312" w:hAnsi="仿宋_GB2312" w:eastAsia="仿宋_GB2312" w:cs="仿宋_GB2312"/>
          <w:spacing w:val="0"/>
          <w:kern w:val="0"/>
          <w:sz w:val="32"/>
          <w:szCs w:val="32"/>
        </w:rPr>
        <w:t>未安排公务接待。累计接待0批次、0人次。</w:t>
      </w:r>
    </w:p>
    <w:p w14:paraId="02D78A63">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27" w:name="_Toc256000146"/>
      <w:bookmarkStart w:id="128" w:name="_Toc256000071"/>
      <w:bookmarkStart w:id="129" w:name="_Toc256000121"/>
      <w:bookmarkStart w:id="130" w:name="_Toc256000021"/>
      <w:bookmarkStart w:id="131" w:name="_Toc256000046"/>
      <w:bookmarkStart w:id="132" w:name="_Toc256000096"/>
      <w:r>
        <w:rPr>
          <w:rFonts w:ascii="黑体" w:hAnsi="黑体" w:eastAsia="黑体" w:cs="黑体"/>
          <w:b w:val="0"/>
          <w:bCs w:val="0"/>
          <w:spacing w:val="0"/>
        </w:rPr>
        <w:t>八、预算绩效情况说明</w:t>
      </w:r>
      <w:bookmarkEnd w:id="127"/>
      <w:bookmarkEnd w:id="128"/>
      <w:bookmarkEnd w:id="129"/>
      <w:bookmarkEnd w:id="130"/>
      <w:bookmarkEnd w:id="131"/>
      <w:bookmarkEnd w:id="132"/>
    </w:p>
    <w:p w14:paraId="63EE489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该年度本单位无单位自评项目。</w:t>
      </w:r>
    </w:p>
    <w:p w14:paraId="52AD28DF">
      <w:pPr>
        <w:pStyle w:val="5"/>
        <w:keepNext w:val="0"/>
        <w:keepLines w:val="0"/>
        <w:spacing w:before="100" w:after="100" w:line="560" w:lineRule="atLeast"/>
        <w:ind w:left="100" w:right="100" w:firstLine="640" w:firstLineChars="0"/>
        <w:rPr>
          <w:rFonts w:ascii="Times New Roman" w:hAnsi="Times New Roman" w:eastAsia="Times New Roman" w:cs="Times New Roman"/>
          <w:b/>
          <w:bCs/>
          <w:kern w:val="0"/>
          <w:sz w:val="28"/>
          <w:szCs w:val="28"/>
        </w:rPr>
      </w:pPr>
      <w:bookmarkStart w:id="133" w:name="_Toc256000122"/>
      <w:bookmarkStart w:id="134" w:name="_Toc256000022"/>
      <w:bookmarkStart w:id="135" w:name="_Toc256000072"/>
      <w:bookmarkStart w:id="136" w:name="_Toc256000047"/>
      <w:bookmarkStart w:id="137" w:name="_Toc256000097"/>
      <w:bookmarkStart w:id="138" w:name="_Toc256000147"/>
      <w:r>
        <w:rPr>
          <w:rFonts w:ascii="黑体" w:hAnsi="黑体" w:eastAsia="黑体" w:cs="黑体"/>
          <w:b w:val="0"/>
          <w:bCs w:val="0"/>
          <w:spacing w:val="0"/>
        </w:rPr>
        <w:t>九、其他重要事项说明</w:t>
      </w:r>
      <w:bookmarkEnd w:id="133"/>
      <w:bookmarkEnd w:id="134"/>
      <w:bookmarkEnd w:id="135"/>
      <w:bookmarkEnd w:id="136"/>
      <w:bookmarkEnd w:id="137"/>
      <w:bookmarkEnd w:id="138"/>
    </w:p>
    <w:p w14:paraId="30F0463D">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（一）机关运行经费</w:t>
      </w:r>
      <w:r>
        <w:rPr>
          <w:rFonts w:ascii="楷体_GB2312" w:hAnsi="楷体_GB2312" w:eastAsia="楷体_GB2312" w:cs="楷体_GB2312"/>
          <w:spacing w:val="0"/>
          <w:kern w:val="0"/>
          <w:sz w:val="32"/>
          <w:szCs w:val="32"/>
        </w:rPr>
        <w:t> </w:t>
      </w:r>
    </w:p>
    <w:p w14:paraId="5D7AE640">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年度机关运行经费支出0万元，与上年</w:t>
      </w:r>
      <w:r>
        <w:rPr>
          <w:rFonts w:hint="eastAsia" w:ascii="仿宋_GB2312" w:hAnsi="仿宋_GB2312" w:eastAsia="仿宋_GB2312" w:cs="仿宋_GB2312"/>
          <w:kern w:val="0"/>
          <w:sz w:val="32"/>
          <w:szCs w:val="32"/>
          <w:lang w:val="en-US" w:eastAsia="zh-CN"/>
        </w:rPr>
        <w:t>决算数</w:t>
      </w:r>
      <w:r>
        <w:rPr>
          <w:rFonts w:hint="eastAsia" w:ascii="仿宋_GB2312" w:hAnsi="仿宋_GB2312" w:eastAsia="仿宋_GB2312" w:cs="仿宋_GB2312"/>
          <w:kern w:val="0"/>
          <w:sz w:val="32"/>
          <w:szCs w:val="32"/>
        </w:rPr>
        <w:t>持平，主要原因是</w:t>
      </w:r>
      <w:r>
        <w:rPr>
          <w:rFonts w:hint="eastAsia" w:ascii="仿宋_GB2312" w:hAnsi="仿宋_GB2312" w:eastAsia="仿宋_GB2312" w:cs="仿宋_GB2312"/>
          <w:kern w:val="0"/>
          <w:sz w:val="32"/>
          <w:szCs w:val="32"/>
          <w:lang w:eastAsia="zh-CN"/>
        </w:rPr>
        <w:t>：</w:t>
      </w:r>
      <w:r>
        <w:rPr>
          <w:rFonts w:ascii="仿宋_GB2312" w:hAnsi="仿宋_GB2312" w:eastAsia="仿宋_GB2312" w:cs="仿宋_GB2312"/>
          <w:kern w:val="0"/>
          <w:sz w:val="32"/>
          <w:szCs w:val="32"/>
        </w:rPr>
        <w:t>本单位为事业单位没有机关运行经费。</w:t>
      </w:r>
    </w:p>
    <w:p w14:paraId="38054252">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（二）政府采购情况</w:t>
      </w:r>
    </w:p>
    <w:p w14:paraId="4311A0A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kern w:val="0"/>
          <w:sz w:val="32"/>
          <w:szCs w:val="32"/>
        </w:rPr>
        <w:t>本单位2024年度没有政府采购支出。</w:t>
      </w:r>
    </w:p>
    <w:p w14:paraId="7BDD6217">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（三）国有资产占用使用情况</w:t>
      </w:r>
      <w:r>
        <w:rPr>
          <w:rFonts w:ascii="楷体_GB2312" w:hAnsi="楷体_GB2312" w:eastAsia="楷体_GB2312" w:cs="楷体_GB2312"/>
          <w:spacing w:val="0"/>
          <w:kern w:val="0"/>
          <w:sz w:val="32"/>
          <w:szCs w:val="32"/>
        </w:rPr>
        <w:t> </w:t>
      </w:r>
    </w:p>
    <w:p w14:paraId="274038A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Fonts w:ascii="仿宋_GB2312" w:hAnsi="仿宋_GB2312" w:eastAsia="仿宋_GB2312" w:cs="仿宋_GB2312"/>
          <w:spacing w:val="0"/>
          <w:kern w:val="0"/>
          <w:sz w:val="32"/>
          <w:szCs w:val="32"/>
        </w:rPr>
        <w:t>截至2024年12月31日，本单位共有车辆0 辆，其中：副部（省）级以上领导用车0 辆、主要领导干部用车0 辆、机要通信用车0辆、应急保障用车0辆、执法执勤用车0辆、特种专业技术用车0辆、离退休干部用车0辆、其他用车0辆；单位价值100万元以上设备（不含车辆）0台（套）。  </w:t>
      </w:r>
      <w:r>
        <w:rPr>
          <w:rFonts w:ascii="宋体" w:hAnsi="宋体" w:cs="宋体"/>
          <w:spacing w:val="0"/>
          <w:kern w:val="0"/>
          <w:sz w:val="56"/>
          <w:szCs w:val="56"/>
        </w:rPr>
        <w:t xml:space="preserve"> </w:t>
      </w:r>
    </w:p>
    <w:p w14:paraId="0F885965">
      <w:pPr>
        <w:sectPr>
          <w:footerReference r:id="rId18" w:type="default"/>
          <w:pgSz w:w="11906" w:h="16838"/>
          <w:pgMar w:top="1440" w:right="720" w:bottom="1440" w:left="720" w:header="720" w:footer="720" w:gutter="0"/>
          <w:cols w:space="720" w:num="1"/>
        </w:sectPr>
      </w:pPr>
    </w:p>
    <w:p w14:paraId="342BA22F">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7C8D909E">
      <w:pPr>
        <w:pStyle w:val="28"/>
        <w:widowControl/>
        <w:spacing w:before="100" w:after="100"/>
        <w:ind w:left="100" w:right="100" w:firstLine="640"/>
        <w:jc w:val="left"/>
        <w:rPr>
          <w:rFonts w:ascii="Times New Roman" w:hAnsi="Times New Roman" w:eastAsia="Times New Roman" w:cs="Times New Roman"/>
          <w:kern w:val="0"/>
          <w:sz w:val="24"/>
        </w:rPr>
      </w:pPr>
    </w:p>
    <w:p w14:paraId="3CD41238">
      <w:pPr>
        <w:pStyle w:val="28"/>
        <w:widowControl/>
        <w:spacing w:before="100" w:after="100"/>
        <w:ind w:left="100" w:right="100" w:firstLine="640"/>
        <w:jc w:val="left"/>
        <w:rPr>
          <w:rFonts w:ascii="Times New Roman" w:hAnsi="Times New Roman" w:eastAsia="Times New Roman" w:cs="Times New Roman"/>
          <w:kern w:val="0"/>
          <w:sz w:val="24"/>
        </w:rPr>
      </w:pPr>
    </w:p>
    <w:p w14:paraId="285E80FF">
      <w:pPr>
        <w:pStyle w:val="28"/>
        <w:widowControl/>
        <w:spacing w:before="100" w:after="100"/>
        <w:ind w:left="100" w:right="100" w:firstLine="640"/>
        <w:jc w:val="left"/>
        <w:rPr>
          <w:rFonts w:ascii="Times New Roman" w:hAnsi="Times New Roman" w:eastAsia="Times New Roman" w:cs="Times New Roman"/>
          <w:kern w:val="0"/>
          <w:sz w:val="24"/>
        </w:rPr>
      </w:pPr>
    </w:p>
    <w:p w14:paraId="32F8FF14">
      <w:pPr>
        <w:pStyle w:val="28"/>
        <w:widowControl/>
        <w:spacing w:before="100" w:after="100"/>
        <w:ind w:left="100" w:right="100" w:firstLine="640"/>
        <w:jc w:val="left"/>
        <w:rPr>
          <w:rFonts w:ascii="Times New Roman" w:hAnsi="Times New Roman" w:eastAsia="Times New Roman" w:cs="Times New Roman"/>
          <w:kern w:val="0"/>
          <w:sz w:val="24"/>
        </w:rPr>
      </w:pPr>
    </w:p>
    <w:p w14:paraId="4333159C">
      <w:pPr>
        <w:pStyle w:val="28"/>
        <w:widowControl/>
        <w:spacing w:before="100" w:after="100"/>
        <w:ind w:left="100" w:right="100" w:firstLine="640"/>
        <w:jc w:val="left"/>
        <w:rPr>
          <w:rFonts w:ascii="Times New Roman" w:hAnsi="Times New Roman" w:eastAsia="Times New Roman" w:cs="Times New Roman"/>
          <w:kern w:val="0"/>
          <w:sz w:val="24"/>
        </w:rPr>
      </w:pPr>
    </w:p>
    <w:p w14:paraId="79D744B5">
      <w:pPr>
        <w:pStyle w:val="28"/>
        <w:widowControl/>
        <w:spacing w:before="100" w:after="100"/>
        <w:ind w:left="100" w:right="100" w:firstLine="640"/>
        <w:jc w:val="left"/>
        <w:rPr>
          <w:rFonts w:ascii="Times New Roman" w:hAnsi="Times New Roman" w:eastAsia="Times New Roman" w:cs="Times New Roman"/>
          <w:kern w:val="0"/>
          <w:sz w:val="24"/>
        </w:rPr>
      </w:pPr>
    </w:p>
    <w:p w14:paraId="734E9E20">
      <w:pPr>
        <w:pStyle w:val="28"/>
        <w:widowControl/>
        <w:spacing w:before="100" w:after="100"/>
        <w:ind w:left="100" w:right="100" w:firstLine="640"/>
        <w:jc w:val="left"/>
        <w:rPr>
          <w:rFonts w:ascii="Times New Roman" w:hAnsi="Times New Roman" w:eastAsia="Times New Roman" w:cs="Times New Roman"/>
          <w:kern w:val="0"/>
          <w:sz w:val="24"/>
        </w:rPr>
      </w:pPr>
    </w:p>
    <w:p w14:paraId="7B1EA942">
      <w:pPr>
        <w:pStyle w:val="28"/>
        <w:widowControl/>
        <w:spacing w:before="100" w:after="100"/>
        <w:ind w:left="100" w:right="100" w:firstLine="640"/>
        <w:jc w:val="left"/>
        <w:rPr>
          <w:rFonts w:ascii="Times New Roman" w:hAnsi="Times New Roman" w:eastAsia="Times New Roman" w:cs="Times New Roman"/>
          <w:kern w:val="0"/>
          <w:sz w:val="24"/>
        </w:rPr>
      </w:pPr>
    </w:p>
    <w:p w14:paraId="026ED36C">
      <w:pPr>
        <w:pStyle w:val="28"/>
        <w:widowControl/>
        <w:spacing w:before="100" w:after="100"/>
        <w:ind w:left="100" w:right="100" w:firstLine="640"/>
        <w:jc w:val="left"/>
        <w:rPr>
          <w:rFonts w:ascii="Times New Roman" w:hAnsi="Times New Roman" w:eastAsia="Times New Roman" w:cs="Times New Roman"/>
          <w:kern w:val="0"/>
          <w:sz w:val="24"/>
        </w:rPr>
      </w:pPr>
    </w:p>
    <w:p w14:paraId="0DADB76A">
      <w:pPr>
        <w:pStyle w:val="28"/>
        <w:widowControl/>
        <w:spacing w:before="100" w:after="100"/>
        <w:ind w:left="100" w:right="100" w:firstLine="640"/>
        <w:jc w:val="left"/>
        <w:rPr>
          <w:rFonts w:ascii="Times New Roman" w:hAnsi="Times New Roman" w:eastAsia="Times New Roman" w:cs="Times New Roman"/>
          <w:kern w:val="0"/>
          <w:sz w:val="24"/>
        </w:rPr>
      </w:pPr>
    </w:p>
    <w:p w14:paraId="3747DC6E">
      <w:pPr>
        <w:pStyle w:val="28"/>
        <w:widowControl/>
        <w:spacing w:before="100" w:after="100"/>
        <w:ind w:left="100" w:right="100" w:firstLine="640"/>
        <w:jc w:val="left"/>
        <w:rPr>
          <w:rFonts w:ascii="Times New Roman" w:hAnsi="Times New Roman" w:eastAsia="Times New Roman" w:cs="Times New Roman"/>
          <w:kern w:val="0"/>
          <w:sz w:val="24"/>
        </w:rPr>
      </w:pPr>
    </w:p>
    <w:p w14:paraId="790087A4">
      <w:pPr>
        <w:pStyle w:val="28"/>
        <w:widowControl/>
        <w:spacing w:before="100" w:after="100"/>
        <w:ind w:left="100" w:right="100" w:firstLine="640"/>
        <w:jc w:val="left"/>
        <w:rPr>
          <w:rFonts w:ascii="Times New Roman" w:hAnsi="Times New Roman" w:eastAsia="Times New Roman" w:cs="Times New Roman"/>
          <w:kern w:val="0"/>
          <w:sz w:val="24"/>
        </w:rPr>
      </w:pPr>
    </w:p>
    <w:p w14:paraId="45C77D8B">
      <w:pPr>
        <w:pStyle w:val="3"/>
        <w:keepNext w:val="0"/>
        <w:keepLines w:val="0"/>
        <w:spacing w:before="100" w:after="100" w:line="240" w:lineRule="auto"/>
        <w:ind w:left="100" w:right="100" w:firstLine="0" w:firstLineChars="0"/>
        <w:jc w:val="center"/>
        <w:rPr>
          <w:rFonts w:ascii="Times New Roman" w:hAnsi="Times New Roman" w:eastAsia="Times New Roman" w:cs="Times New Roman"/>
          <w:b/>
          <w:bCs/>
          <w:kern w:val="0"/>
          <w:sz w:val="36"/>
          <w:szCs w:val="36"/>
        </w:rPr>
      </w:pPr>
      <w:bookmarkStart w:id="139" w:name="_Toc256000073"/>
      <w:bookmarkStart w:id="140" w:name="_Toc256000048"/>
      <w:bookmarkStart w:id="141" w:name="_Toc256000098"/>
      <w:bookmarkStart w:id="142" w:name="_Toc256000123"/>
      <w:bookmarkStart w:id="143" w:name="_Toc256000148"/>
      <w:bookmarkStart w:id="144" w:name="_Toc256000023"/>
      <w:r>
        <w:rPr>
          <w:rFonts w:ascii="黑体" w:hAnsi="黑体" w:eastAsia="黑体" w:cs="黑体"/>
          <w:b w:val="0"/>
          <w:bCs w:val="0"/>
          <w:spacing w:val="0"/>
          <w:sz w:val="56"/>
          <w:szCs w:val="56"/>
        </w:rPr>
        <w:t>第四部分</w:t>
      </w:r>
      <w:r>
        <w:rPr>
          <w:rFonts w:ascii="黑体" w:hAnsi="黑体" w:eastAsia="黑体" w:cs="黑体"/>
          <w:b w:val="0"/>
          <w:bCs w:val="0"/>
          <w:spacing w:val="0"/>
          <w:sz w:val="56"/>
          <w:szCs w:val="56"/>
        </w:rPr>
        <w:br w:type="textWrapping"/>
      </w:r>
      <w:r>
        <w:rPr>
          <w:rFonts w:ascii="黑体" w:hAnsi="黑体" w:eastAsia="黑体" w:cs="黑体"/>
          <w:b w:val="0"/>
          <w:bCs w:val="0"/>
          <w:spacing w:val="0"/>
          <w:sz w:val="56"/>
          <w:szCs w:val="56"/>
        </w:rPr>
        <w:t>名词解释</w:t>
      </w:r>
      <w:bookmarkEnd w:id="139"/>
      <w:bookmarkEnd w:id="140"/>
      <w:bookmarkEnd w:id="141"/>
      <w:bookmarkEnd w:id="142"/>
      <w:bookmarkEnd w:id="143"/>
      <w:bookmarkEnd w:id="144"/>
    </w:p>
    <w:p w14:paraId="229F752E">
      <w:pPr>
        <w:sectPr>
          <w:footerReference r:id="rId19" w:type="default"/>
          <w:pgSz w:w="11906" w:h="16838"/>
          <w:pgMar w:top="1440" w:right="720" w:bottom="1440" w:left="720" w:header="720" w:footer="720" w:gutter="0"/>
          <w:cols w:space="720" w:num="1"/>
        </w:sectPr>
      </w:pPr>
    </w:p>
    <w:p w14:paraId="6B77F6F7">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0194924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一、财政拨款收入：</w:t>
      </w:r>
      <w:r>
        <w:rPr>
          <w:rFonts w:ascii="仿宋_GB2312" w:hAnsi="仿宋_GB2312" w:eastAsia="仿宋_GB2312" w:cs="仿宋_GB2312"/>
          <w:spacing w:val="0"/>
          <w:kern w:val="0"/>
          <w:sz w:val="32"/>
          <w:szCs w:val="32"/>
        </w:rPr>
        <w:t>指单位从本级财政单位取得的财政预算资金，包括一般公共预算财政拨款、政府性基金预算财政拨款和国有资本经营预算财政拨款。</w:t>
      </w:r>
    </w:p>
    <w:p w14:paraId="5A7D16E1">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二、事业收入：</w:t>
      </w:r>
      <w:r>
        <w:rPr>
          <w:rFonts w:ascii="仿宋_GB2312" w:hAnsi="仿宋_GB2312" w:eastAsia="仿宋_GB2312" w:cs="仿宋_GB2312"/>
          <w:spacing w:val="0"/>
          <w:kern w:val="0"/>
          <w:sz w:val="32"/>
          <w:szCs w:val="32"/>
        </w:rPr>
        <w:t>指事业单位开展专业业务活动及辅助活动所取得的收入。</w:t>
      </w:r>
    </w:p>
    <w:p w14:paraId="414BD26C">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三、经营收入：</w:t>
      </w:r>
      <w:r>
        <w:rPr>
          <w:rFonts w:ascii="仿宋_GB2312" w:hAnsi="仿宋_GB2312" w:eastAsia="仿宋_GB2312" w:cs="仿宋_GB2312"/>
          <w:spacing w:val="0"/>
          <w:kern w:val="0"/>
          <w:sz w:val="32"/>
          <w:szCs w:val="32"/>
        </w:rPr>
        <w:t>指事业单位在专业业务活动及其辅助活动之外开展非独立核算经营活动取得的收入。</w:t>
      </w:r>
    </w:p>
    <w:p w14:paraId="05DF8896">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四、其他收入：</w:t>
      </w:r>
      <w:r>
        <w:rPr>
          <w:rFonts w:ascii="仿宋_GB2312" w:hAnsi="仿宋_GB2312" w:eastAsia="仿宋_GB2312" w:cs="仿宋_GB2312"/>
          <w:kern w:val="0"/>
          <w:sz w:val="32"/>
          <w:szCs w:val="32"/>
        </w:rPr>
        <w:t>指除上述“财政拨款收入”“事业收入”</w:t>
      </w:r>
      <w:r>
        <w:rPr>
          <w:rFonts w:ascii="仿宋_GB2312" w:hAnsi="仿宋_GB2312" w:eastAsia="仿宋_GB2312" w:cs="仿宋_GB2312"/>
          <w:kern w:val="0"/>
          <w:szCs w:val="21"/>
        </w:rPr>
        <w:t> </w:t>
      </w:r>
      <w:r>
        <w:rPr>
          <w:rFonts w:ascii="仿宋_GB2312" w:hAnsi="仿宋_GB2312" w:eastAsia="仿宋_GB2312" w:cs="仿宋_GB2312"/>
          <w:kern w:val="0"/>
          <w:sz w:val="32"/>
          <w:szCs w:val="32"/>
        </w:rPr>
        <w:t>“上级补助收入”“附属单位上缴收入”“经营收入”等以外取得的各项收入。主要是事业单位固定资产出租收入、存款利息收入等。</w:t>
      </w:r>
    </w:p>
    <w:p w14:paraId="5802C3C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五、使用非财政拨款结余（含专用结余）：</w:t>
      </w:r>
      <w:r>
        <w:rPr>
          <w:rFonts w:ascii="仿宋_GB2312" w:hAnsi="仿宋_GB2312" w:eastAsia="仿宋_GB2312" w:cs="仿宋_GB2312"/>
          <w:kern w:val="0"/>
          <w:sz w:val="32"/>
          <w:szCs w:val="32"/>
        </w:rPr>
        <w:t>指事业单位按照预算管理要求使用非财政拨款结余弥补当年收支差额的金额，以及使用专用结余安排支出的金额。</w:t>
      </w:r>
    </w:p>
    <w:p w14:paraId="0DE18245">
      <w:pPr>
        <w:pStyle w:val="28"/>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六、年初结转和结余：</w:t>
      </w:r>
      <w:r>
        <w:rPr>
          <w:rFonts w:ascii="仿宋_GB2312" w:hAnsi="仿宋_GB2312" w:eastAsia="仿宋_GB2312" w:cs="仿宋_GB2312"/>
          <w:spacing w:val="0"/>
          <w:kern w:val="0"/>
          <w:sz w:val="32"/>
          <w:szCs w:val="32"/>
        </w:rPr>
        <w:t>指单位以前年度尚未完成、结转到本年仍按原规定用途继续使用的资金，或项目已完成等产生的结余资金。</w:t>
      </w:r>
    </w:p>
    <w:p w14:paraId="1A4D9822">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七、结余分配：</w:t>
      </w:r>
      <w:r>
        <w:rPr>
          <w:rFonts w:ascii="仿宋_GB2312" w:hAnsi="仿宋_GB2312" w:eastAsia="仿宋_GB2312" w:cs="仿宋_GB2312"/>
          <w:spacing w:val="0"/>
          <w:kern w:val="0"/>
          <w:sz w:val="32"/>
          <w:szCs w:val="32"/>
        </w:rPr>
        <w:t>指事业单位按照会计制度规定缴纳的所得税、提取的专用结余以及转入非财政拨款结余的金额等。</w:t>
      </w:r>
    </w:p>
    <w:p w14:paraId="2FCABFD6">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八、年末结转和结余：</w:t>
      </w:r>
      <w:r>
        <w:rPr>
          <w:rFonts w:ascii="仿宋_GB2312" w:hAnsi="仿宋_GB2312" w:eastAsia="仿宋_GB2312" w:cs="仿宋_GB2312"/>
          <w:spacing w:val="0"/>
          <w:kern w:val="0"/>
          <w:sz w:val="32"/>
          <w:szCs w:val="32"/>
        </w:rPr>
        <w:t>指单位按有关规定结转到下年或以后年度继续使用的资金，或项目已完成等产生的结余资金。</w:t>
      </w:r>
    </w:p>
    <w:p w14:paraId="587B9DAA">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九、基本支出：</w:t>
      </w:r>
      <w:r>
        <w:rPr>
          <w:rFonts w:ascii="仿宋_GB2312" w:hAnsi="仿宋_GB2312" w:eastAsia="仿宋_GB2312" w:cs="仿宋_GB2312"/>
          <w:spacing w:val="0"/>
          <w:kern w:val="0"/>
          <w:sz w:val="32"/>
          <w:szCs w:val="32"/>
        </w:rPr>
        <w:t>指为保障机构正常运转、完成日常工作任务而发生的人员支出和公用支出。</w:t>
      </w:r>
    </w:p>
    <w:p w14:paraId="398E9F5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十、项目支出：</w:t>
      </w:r>
      <w:r>
        <w:rPr>
          <w:rFonts w:ascii="仿宋_GB2312" w:hAnsi="仿宋_GB2312" w:eastAsia="仿宋_GB2312" w:cs="仿宋_GB2312"/>
          <w:spacing w:val="0"/>
          <w:kern w:val="0"/>
          <w:sz w:val="32"/>
          <w:szCs w:val="32"/>
        </w:rPr>
        <w:t>指在基本支出之外为完成特定行政任务和事业发展目标所发生的支出。</w:t>
      </w:r>
    </w:p>
    <w:p w14:paraId="78F388BB">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十一、经营支出：</w:t>
      </w:r>
      <w:r>
        <w:rPr>
          <w:rFonts w:ascii="仿宋_GB2312" w:hAnsi="仿宋_GB2312" w:eastAsia="仿宋_GB2312" w:cs="仿宋_GB2312"/>
          <w:spacing w:val="0"/>
          <w:kern w:val="0"/>
          <w:sz w:val="32"/>
          <w:szCs w:val="32"/>
        </w:rPr>
        <w:t>指事业单位在专业业务活动及其辅助活动之外开展非独立核算经营活动发生的支出。</w:t>
      </w:r>
    </w:p>
    <w:p w14:paraId="7F03E8F2">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十二、“三公”经费：</w:t>
      </w:r>
      <w:r>
        <w:rPr>
          <w:rFonts w:ascii="仿宋_GB2312" w:hAnsi="仿宋_GB2312" w:eastAsia="仿宋_GB2312" w:cs="仿宋_GB2312"/>
          <w:spacing w:val="0"/>
          <w:kern w:val="0"/>
          <w:sz w:val="32"/>
          <w:szCs w:val="32"/>
        </w:rPr>
        <w:t>纳入本级财政预决算管理的“三公”经费，是指本级单位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燃料费、维修费、过桥过路费、保险费、安全奖励费用等支出；公务接待费反映单位按规定开支的各类公务接待（含外宾接待）支出。</w:t>
      </w:r>
    </w:p>
    <w:p w14:paraId="7BA57ED0">
      <w:pPr>
        <w:pStyle w:val="29"/>
        <w:widowControl/>
        <w:spacing w:before="100" w:after="100" w:line="560" w:lineRule="atLeast"/>
        <w:ind w:left="100" w:right="100" w:firstLine="640"/>
        <w:jc w:val="left"/>
        <w:rPr>
          <w:rFonts w:ascii="Times New Roman" w:hAnsi="Times New Roman" w:eastAsia="Times New Roman" w:cs="Times New Roman"/>
          <w:kern w:val="0"/>
          <w:sz w:val="24"/>
        </w:rPr>
      </w:pPr>
      <w:r>
        <w:rPr>
          <w:rStyle w:val="30"/>
          <w:rFonts w:ascii="楷体_GB2312" w:hAnsi="楷体_GB2312" w:eastAsia="楷体_GB2312" w:cs="楷体_GB2312"/>
          <w:b/>
          <w:bCs/>
          <w:spacing w:val="0"/>
          <w:kern w:val="0"/>
          <w:sz w:val="32"/>
          <w:szCs w:val="32"/>
        </w:rPr>
        <w:t>十三、机关运行经费：</w:t>
      </w:r>
      <w:r>
        <w:rPr>
          <w:rFonts w:ascii="仿宋_GB2312" w:hAnsi="仿宋_GB2312" w:eastAsia="仿宋_GB2312" w:cs="仿宋_GB2312"/>
          <w:kern w:val="0"/>
          <w:sz w:val="32"/>
          <w:szCs w:val="32"/>
        </w:rPr>
        <w:t>反映行政单位（含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以及其他费用。</w:t>
      </w:r>
    </w:p>
    <w:p w14:paraId="633B9E03">
      <w:pPr>
        <w:pStyle w:val="28"/>
        <w:widowControl/>
        <w:spacing w:before="240" w:after="240"/>
        <w:ind w:firstLine="643"/>
        <w:jc w:val="left"/>
        <w:rPr>
          <w:rFonts w:ascii="Times New Roman" w:hAnsi="Times New Roman" w:eastAsia="Times New Roman" w:cs="Times New Roman"/>
          <w:kern w:val="0"/>
          <w:sz w:val="24"/>
        </w:rPr>
      </w:pPr>
    </w:p>
    <w:p w14:paraId="015EED8E">
      <w:pPr>
        <w:sectPr>
          <w:footerReference r:id="rId20" w:type="default"/>
          <w:pgSz w:w="11906" w:h="16838"/>
          <w:pgMar w:top="1440" w:right="720" w:bottom="1440" w:left="720" w:header="720" w:footer="720" w:gutter="0"/>
          <w:cols w:space="720" w:num="1"/>
        </w:sectPr>
      </w:pPr>
    </w:p>
    <w:p w14:paraId="1A230E1A">
      <w:pPr>
        <w:widowControl/>
        <w:spacing w:before="240" w:after="240"/>
        <w:jc w:val="left"/>
        <w:rPr>
          <w:rFonts w:ascii="Times New Roman" w:hAnsi="Times New Roman" w:eastAsia="Times New Roman" w:cs="Times New Roman"/>
          <w:vanish/>
          <w:kern w:val="0"/>
          <w:sz w:val="24"/>
        </w:rPr>
      </w:pPr>
      <w:r>
        <w:rPr>
          <w:rFonts w:ascii="Times New Roman" w:hAnsi="Times New Roman" w:eastAsia="Times New Roman" w:cs="Times New Roman"/>
          <w:vanish/>
          <w:kern w:val="0"/>
          <w:sz w:val="24"/>
        </w:rPr>
        <w:t>word page break</w:t>
      </w:r>
    </w:p>
    <w:p w14:paraId="118F83AC">
      <w:pPr>
        <w:pStyle w:val="28"/>
        <w:widowControl/>
        <w:spacing w:before="240" w:after="240"/>
        <w:jc w:val="left"/>
        <w:rPr>
          <w:rFonts w:ascii="Times New Roman" w:hAnsi="Times New Roman" w:eastAsia="Times New Roman" w:cs="Times New Roman"/>
          <w:kern w:val="0"/>
          <w:sz w:val="24"/>
        </w:rPr>
      </w:pPr>
    </w:p>
    <w:p w14:paraId="66C4A5D3">
      <w:pPr>
        <w:pStyle w:val="28"/>
        <w:widowControl/>
        <w:spacing w:before="240" w:after="240"/>
        <w:jc w:val="left"/>
        <w:rPr>
          <w:rFonts w:ascii="Times New Roman" w:hAnsi="Times New Roman" w:eastAsia="Times New Roman" w:cs="Times New Roman"/>
          <w:kern w:val="0"/>
          <w:sz w:val="24"/>
        </w:rPr>
      </w:pPr>
    </w:p>
    <w:p w14:paraId="474D5712">
      <w:pPr>
        <w:pStyle w:val="28"/>
        <w:widowControl/>
        <w:spacing w:before="240" w:after="240"/>
        <w:jc w:val="left"/>
        <w:rPr>
          <w:rFonts w:ascii="Times New Roman" w:hAnsi="Times New Roman" w:eastAsia="Times New Roman" w:cs="Times New Roman"/>
          <w:kern w:val="0"/>
          <w:sz w:val="24"/>
        </w:rPr>
      </w:pPr>
    </w:p>
    <w:p w14:paraId="19B41C1C">
      <w:pPr>
        <w:pStyle w:val="28"/>
        <w:widowControl/>
        <w:spacing w:before="240" w:after="240"/>
        <w:jc w:val="left"/>
        <w:rPr>
          <w:rFonts w:ascii="Times New Roman" w:hAnsi="Times New Roman" w:eastAsia="Times New Roman" w:cs="Times New Roman"/>
          <w:kern w:val="0"/>
          <w:sz w:val="24"/>
        </w:rPr>
      </w:pPr>
    </w:p>
    <w:p w14:paraId="3D7521C9">
      <w:pPr>
        <w:pStyle w:val="28"/>
        <w:widowControl/>
        <w:spacing w:before="240" w:after="240"/>
        <w:jc w:val="left"/>
        <w:rPr>
          <w:rFonts w:ascii="Times New Roman" w:hAnsi="Times New Roman" w:eastAsia="Times New Roman" w:cs="Times New Roman"/>
          <w:kern w:val="0"/>
          <w:sz w:val="24"/>
        </w:rPr>
      </w:pPr>
    </w:p>
    <w:p w14:paraId="4B205D33">
      <w:pPr>
        <w:pStyle w:val="28"/>
        <w:widowControl/>
        <w:spacing w:before="240" w:after="240"/>
        <w:jc w:val="left"/>
        <w:rPr>
          <w:rFonts w:ascii="Times New Roman" w:hAnsi="Times New Roman" w:eastAsia="Times New Roman" w:cs="Times New Roman"/>
          <w:kern w:val="0"/>
          <w:sz w:val="24"/>
        </w:rPr>
      </w:pPr>
    </w:p>
    <w:p w14:paraId="31752751">
      <w:pPr>
        <w:pStyle w:val="28"/>
        <w:widowControl/>
        <w:spacing w:before="240" w:after="240"/>
        <w:jc w:val="left"/>
        <w:rPr>
          <w:rFonts w:ascii="Times New Roman" w:hAnsi="Times New Roman" w:eastAsia="Times New Roman" w:cs="Times New Roman"/>
          <w:kern w:val="0"/>
          <w:sz w:val="24"/>
        </w:rPr>
      </w:pPr>
    </w:p>
    <w:p w14:paraId="5E9B8442">
      <w:pPr>
        <w:pStyle w:val="28"/>
        <w:widowControl/>
        <w:spacing w:before="240" w:after="240"/>
        <w:jc w:val="left"/>
        <w:rPr>
          <w:rFonts w:ascii="Times New Roman" w:hAnsi="Times New Roman" w:eastAsia="Times New Roman" w:cs="Times New Roman"/>
          <w:kern w:val="0"/>
          <w:sz w:val="24"/>
        </w:rPr>
      </w:pPr>
    </w:p>
    <w:p w14:paraId="5B31E0FB">
      <w:pPr>
        <w:pStyle w:val="28"/>
        <w:widowControl/>
        <w:spacing w:before="240" w:after="240"/>
        <w:jc w:val="left"/>
        <w:rPr>
          <w:rFonts w:ascii="Times New Roman" w:hAnsi="Times New Roman" w:eastAsia="Times New Roman" w:cs="Times New Roman"/>
          <w:kern w:val="0"/>
          <w:sz w:val="24"/>
        </w:rPr>
      </w:pPr>
    </w:p>
    <w:p w14:paraId="2847C8E1">
      <w:pPr>
        <w:pStyle w:val="3"/>
        <w:keepNext w:val="0"/>
        <w:keepLines w:val="0"/>
        <w:spacing w:before="299" w:after="299" w:line="240" w:lineRule="auto"/>
        <w:ind w:firstLine="0" w:firstLineChars="0"/>
        <w:jc w:val="center"/>
        <w:rPr>
          <w:rFonts w:ascii="Times New Roman" w:hAnsi="Times New Roman" w:eastAsia="Times New Roman" w:cs="Times New Roman"/>
          <w:b/>
          <w:bCs/>
          <w:kern w:val="0"/>
          <w:sz w:val="36"/>
          <w:szCs w:val="36"/>
        </w:rPr>
      </w:pPr>
      <w:bookmarkStart w:id="145" w:name="_Toc256000049"/>
      <w:bookmarkStart w:id="146" w:name="_Toc256000124"/>
      <w:bookmarkStart w:id="147" w:name="_Toc256000074"/>
      <w:bookmarkStart w:id="148" w:name="_Toc256000024"/>
      <w:bookmarkStart w:id="149" w:name="_Toc256000099"/>
      <w:bookmarkStart w:id="150" w:name="_Toc256000149"/>
      <w:r>
        <w:rPr>
          <w:rFonts w:ascii="黑体" w:hAnsi="黑体" w:eastAsia="黑体" w:cs="黑体"/>
          <w:b w:val="0"/>
          <w:bCs w:val="0"/>
          <w:sz w:val="56"/>
          <w:szCs w:val="56"/>
        </w:rPr>
        <w:t>第五部分</w:t>
      </w:r>
      <w:r>
        <w:rPr>
          <w:rFonts w:ascii="黑体" w:hAnsi="黑体" w:eastAsia="黑体" w:cs="黑体"/>
          <w:b w:val="0"/>
          <w:bCs w:val="0"/>
          <w:sz w:val="56"/>
          <w:szCs w:val="56"/>
        </w:rPr>
        <w:br w:type="textWrapping"/>
      </w:r>
      <w:r>
        <w:rPr>
          <w:rFonts w:ascii="黑体" w:hAnsi="黑体" w:eastAsia="黑体" w:cs="黑体"/>
          <w:b w:val="0"/>
          <w:bCs w:val="0"/>
          <w:sz w:val="56"/>
          <w:szCs w:val="56"/>
        </w:rPr>
        <w:t>附件</w:t>
      </w:r>
      <w:bookmarkEnd w:id="145"/>
      <w:bookmarkEnd w:id="146"/>
      <w:bookmarkEnd w:id="147"/>
      <w:bookmarkEnd w:id="148"/>
      <w:bookmarkEnd w:id="149"/>
      <w:bookmarkEnd w:id="150"/>
    </w:p>
    <w:bookmarkEnd w:id="0"/>
    <w:p w14:paraId="2AC73EBD">
      <w:pPr>
        <w:keepNext w:val="0"/>
        <w:keepLines w:val="0"/>
        <w:pageBreakBefore w:val="0"/>
        <w:widowControl w:val="0"/>
        <w:tabs>
          <w:tab w:val="left" w:pos="8415"/>
        </w:tabs>
        <w:kinsoku/>
        <w:wordWrap/>
        <w:overflowPunct/>
        <w:topLinePunct w:val="0"/>
        <w:autoSpaceDE/>
        <w:autoSpaceDN/>
        <w:bidi w:val="0"/>
        <w:adjustRightInd/>
        <w:snapToGrid/>
        <w:textAlignment w:val="auto"/>
      </w:pPr>
    </w:p>
    <w:sectPr>
      <w:footerReference r:id="rId21" w:type="default"/>
      <w:pgSz w:w="11906" w:h="16838"/>
      <w:pgMar w:top="1984" w:right="1083" w:bottom="1984" w:left="1083" w:header="0" w:footer="720"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91C3F">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E56B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13</w:t>
    </w:r>
    <w:r>
      <w:rPr>
        <w:rFonts w:ascii="宋体" w:hAnsi="宋体" w:eastAsia="宋体" w:cs="宋体"/>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FBEF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16</w:t>
    </w:r>
    <w:r>
      <w:rPr>
        <w:rFonts w:ascii="宋体" w:hAnsi="宋体" w:eastAsia="宋体" w:cs="宋体"/>
        <w:sz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2028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17</w:t>
    </w:r>
    <w:r>
      <w:rPr>
        <w:rFonts w:ascii="宋体" w:hAnsi="宋体" w:eastAsia="宋体" w:cs="宋体"/>
        <w:sz w:val="18"/>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12BC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18</w:t>
    </w:r>
    <w:r>
      <w:rPr>
        <w:rFonts w:ascii="宋体" w:hAnsi="宋体" w:eastAsia="宋体" w:cs="宋体"/>
        <w:sz w:val="18"/>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65310">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19</w:t>
    </w:r>
    <w:r>
      <w:rPr>
        <w:rFonts w:ascii="宋体" w:hAnsi="宋体" w:eastAsia="宋体" w:cs="宋体"/>
        <w:sz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7DA2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20</w:t>
    </w:r>
    <w:r>
      <w:rPr>
        <w:rFonts w:ascii="宋体" w:hAnsi="宋体" w:eastAsia="宋体" w:cs="宋体"/>
        <w:sz w:val="18"/>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A695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26</w:t>
    </w:r>
    <w:r>
      <w:rPr>
        <w:rFonts w:ascii="宋体" w:hAnsi="宋体" w:eastAsia="宋体" w:cs="宋体"/>
        <w:sz w:val="18"/>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8693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27</w:t>
    </w:r>
    <w:r>
      <w:rPr>
        <w:rFonts w:ascii="宋体" w:hAnsi="宋体" w:eastAsia="宋体" w:cs="宋体"/>
        <w:sz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1646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29</w:t>
    </w:r>
    <w:r>
      <w:rPr>
        <w:rFonts w:ascii="宋体" w:hAnsi="宋体" w:eastAsia="宋体" w:cs="宋体"/>
        <w:sz w:val="18"/>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AA68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5F138">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21F1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3EBC6">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2</w:t>
    </w:r>
    <w:r>
      <w:rPr>
        <w:rFonts w:ascii="宋体" w:hAnsi="宋体" w:eastAsia="宋体" w:cs="宋体"/>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F632D">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3</w:t>
    </w:r>
    <w:r>
      <w:rPr>
        <w:rFonts w:ascii="宋体" w:hAnsi="宋体" w:eastAsia="宋体" w:cs="宋体"/>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24393">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5</w:t>
    </w:r>
    <w:r>
      <w:rPr>
        <w:rFonts w:ascii="宋体" w:hAnsi="宋体" w:eastAsia="宋体" w:cs="宋体"/>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48BAC">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7</w:t>
    </w:r>
    <w:r>
      <w:rPr>
        <w:rFonts w:ascii="宋体" w:hAnsi="宋体" w:eastAsia="宋体" w:cs="宋体"/>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5AEB4">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9</w:t>
    </w:r>
    <w:r>
      <w:rPr>
        <w:rFonts w:ascii="宋体" w:hAnsi="宋体" w:eastAsia="宋体" w:cs="宋体"/>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B25A1">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12</w:t>
    </w:r>
    <w:r>
      <w:rPr>
        <w:rFonts w:ascii="宋体" w:hAnsi="宋体" w:eastAsia="宋体" w:cs="宋体"/>
        <w:sz w:val="1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compat>
    <w:useFELayout/>
    <w:splitPgBreakAndParaMark/>
    <w:compatSetting w:name="compatibilityMode" w:uri="http://schemas.microsoft.com/office/word" w:val="12"/>
  </w:compat>
  <w:rsids>
    <w:rsidRoot w:val="00000000"/>
    <w:rsid w:val="256B3B9D"/>
    <w:rsid w:val="35F14B53"/>
    <w:rsid w:val="522138DE"/>
    <w:rsid w:val="532E3087"/>
    <w:rsid w:val="55881DEA"/>
    <w:rsid w:val="60DB1CC3"/>
    <w:rsid w:val="6E4262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仿宋"/>
      <w:bCs/>
      <w:kern w:val="44"/>
      <w:sz w:val="32"/>
      <w:szCs w:val="44"/>
    </w:rPr>
  </w:style>
  <w:style w:type="paragraph" w:styleId="3">
    <w:name w:val="heading 2"/>
    <w:basedOn w:val="4"/>
    <w:next w:val="4"/>
    <w:qFormat/>
    <w:uiPriority w:val="0"/>
    <w:pPr>
      <w:keepNext/>
      <w:keepLines/>
      <w:spacing w:before="260" w:after="260" w:line="416" w:lineRule="auto"/>
      <w:outlineLvl w:val="1"/>
    </w:pPr>
    <w:rPr>
      <w:rFonts w:ascii="Arial" w:hAnsi="Arial" w:eastAsia="仿宋"/>
      <w:bCs/>
      <w:sz w:val="32"/>
      <w:szCs w:val="32"/>
    </w:rPr>
  </w:style>
  <w:style w:type="paragraph" w:styleId="5">
    <w:name w:val="heading 3"/>
    <w:basedOn w:val="4"/>
    <w:next w:val="4"/>
    <w:link w:val="27"/>
    <w:qFormat/>
    <w:uiPriority w:val="0"/>
    <w:pPr>
      <w:keepNext/>
      <w:keepLines/>
      <w:spacing w:before="260" w:after="260" w:line="416" w:lineRule="auto"/>
      <w:outlineLvl w:val="2"/>
    </w:pPr>
    <w:rPr>
      <w:rFonts w:eastAsia="仿宋"/>
      <w:bCs/>
      <w:sz w:val="32"/>
      <w:szCs w:val="32"/>
    </w:rPr>
  </w:style>
  <w:style w:type="paragraph" w:styleId="6">
    <w:name w:val="heading 4"/>
    <w:basedOn w:val="4"/>
    <w:next w:val="4"/>
    <w:link w:val="23"/>
    <w:qFormat/>
    <w:uiPriority w:val="0"/>
    <w:pPr>
      <w:keepNext/>
      <w:keepLines/>
      <w:spacing w:before="280" w:after="290" w:line="376" w:lineRule="auto"/>
      <w:outlineLvl w:val="3"/>
    </w:pPr>
    <w:rPr>
      <w:rFonts w:ascii="Cambria" w:hAnsi="Cambria" w:eastAsia="仿宋"/>
      <w:bCs/>
      <w:sz w:val="32"/>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 Spacing"/>
    <w:link w:val="24"/>
    <w:qFormat/>
    <w:uiPriority w:val="0"/>
    <w:pPr>
      <w:ind w:firstLine="200" w:firstLineChars="200"/>
    </w:pPr>
    <w:rPr>
      <w:rFonts w:ascii="Times New Roman" w:hAnsi="Times New Roman" w:eastAsia="仿宋_GB2312" w:cs="Times New Roman"/>
      <w:sz w:val="30"/>
      <w:szCs w:val="22"/>
      <w:lang w:val="en-US" w:eastAsia="zh-CN" w:bidi="ar-SA"/>
    </w:rPr>
  </w:style>
  <w:style w:type="paragraph" w:styleId="7">
    <w:name w:val="toc 7"/>
    <w:basedOn w:val="1"/>
    <w:next w:val="1"/>
    <w:autoRedefine/>
    <w:qFormat/>
    <w:uiPriority w:val="0"/>
    <w:pPr>
      <w:ind w:left="1260"/>
      <w:jc w:val="left"/>
    </w:pPr>
    <w:rPr>
      <w:sz w:val="20"/>
      <w:szCs w:val="20"/>
    </w:rPr>
  </w:style>
  <w:style w:type="paragraph" w:styleId="8">
    <w:name w:val="Document Map"/>
    <w:basedOn w:val="1"/>
    <w:qFormat/>
    <w:uiPriority w:val="0"/>
    <w:pPr>
      <w:shd w:val="clear" w:color="auto" w:fill="000080"/>
    </w:pPr>
  </w:style>
  <w:style w:type="paragraph" w:styleId="9">
    <w:name w:val="toc 5"/>
    <w:basedOn w:val="1"/>
    <w:next w:val="1"/>
    <w:autoRedefine/>
    <w:qFormat/>
    <w:uiPriority w:val="0"/>
    <w:pPr>
      <w:ind w:left="840"/>
      <w:jc w:val="left"/>
    </w:pPr>
    <w:rPr>
      <w:sz w:val="20"/>
      <w:szCs w:val="20"/>
    </w:rPr>
  </w:style>
  <w:style w:type="paragraph" w:styleId="10">
    <w:name w:val="toc 3"/>
    <w:next w:val="5"/>
    <w:qFormat/>
    <w:uiPriority w:val="0"/>
    <w:pPr>
      <w:adjustRightInd w:val="0"/>
      <w:snapToGrid w:val="0"/>
      <w:spacing w:line="360" w:lineRule="auto"/>
      <w:ind w:firstLine="400" w:firstLineChars="400"/>
      <w:jc w:val="left"/>
    </w:pPr>
    <w:rPr>
      <w:rFonts w:ascii="Times New Roman" w:hAnsi="Times New Roman" w:eastAsia="仿宋" w:cs="Times New Roman"/>
      <w:sz w:val="32"/>
      <w:szCs w:val="20"/>
      <w:lang w:val="en-US" w:eastAsia="en-US" w:bidi="ar-SA"/>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5"/>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next w:val="4"/>
    <w:qFormat/>
    <w:uiPriority w:val="0"/>
    <w:pPr>
      <w:adjustRightInd w:val="0"/>
      <w:snapToGrid w:val="0"/>
      <w:spacing w:line="360" w:lineRule="auto"/>
      <w:jc w:val="left"/>
    </w:pPr>
    <w:rPr>
      <w:rFonts w:ascii="Times New Roman" w:hAnsi="Times New Roman" w:eastAsia="仿宋" w:cs="Times New Roman"/>
      <w:bCs/>
      <w:sz w:val="32"/>
      <w:szCs w:val="20"/>
      <w:lang w:val="en-US" w:eastAsia="en-US" w:bidi="ar-SA"/>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next w:val="4"/>
    <w:qFormat/>
    <w:uiPriority w:val="0"/>
    <w:pPr>
      <w:adjustRightInd w:val="0"/>
      <w:snapToGrid w:val="0"/>
      <w:spacing w:line="360" w:lineRule="auto"/>
      <w:ind w:firstLine="200" w:firstLineChars="200"/>
      <w:jc w:val="left"/>
    </w:pPr>
    <w:rPr>
      <w:rFonts w:ascii="Times New Roman" w:hAnsi="Times New Roman" w:eastAsia="仿宋" w:cs="Times New Roman"/>
      <w:b/>
      <w:iCs/>
      <w:sz w:val="32"/>
      <w:szCs w:val="20"/>
      <w:lang w:val="en-US" w:eastAsia="en-US" w:bidi="ar-SA"/>
    </w:rPr>
  </w:style>
  <w:style w:type="paragraph" w:styleId="18">
    <w:name w:val="toc 9"/>
    <w:basedOn w:val="1"/>
    <w:next w:val="1"/>
    <w:autoRedefine/>
    <w:qFormat/>
    <w:uiPriority w:val="0"/>
    <w:pPr>
      <w:ind w:left="1680"/>
      <w:jc w:val="left"/>
    </w:pPr>
    <w:rPr>
      <w:sz w:val="20"/>
      <w:szCs w:val="20"/>
    </w:rPr>
  </w:style>
  <w:style w:type="character" w:styleId="21">
    <w:name w:val="page number"/>
    <w:basedOn w:val="20"/>
    <w:qFormat/>
    <w:uiPriority w:val="0"/>
  </w:style>
  <w:style w:type="character" w:styleId="22">
    <w:name w:val="Hyperlink"/>
    <w:qFormat/>
    <w:uiPriority w:val="0"/>
    <w:rPr>
      <w:rFonts w:ascii="宋体" w:hAnsi="宋体" w:eastAsia="仿宋" w:cs="Times New Roman"/>
      <w:kern w:val="2"/>
      <w:sz w:val="32"/>
      <w:szCs w:val="32"/>
      <w:lang w:val="en-US" w:eastAsia="zh-CN" w:bidi="ar-SA"/>
    </w:rPr>
  </w:style>
  <w:style w:type="character" w:customStyle="1" w:styleId="23">
    <w:name w:val="标题 4 字符"/>
    <w:basedOn w:val="20"/>
    <w:link w:val="6"/>
    <w:qFormat/>
    <w:uiPriority w:val="0"/>
    <w:rPr>
      <w:rFonts w:ascii="Cambria" w:hAnsi="Cambria" w:eastAsia="仿宋"/>
      <w:bCs/>
      <w:kern w:val="2"/>
      <w:sz w:val="32"/>
      <w:szCs w:val="28"/>
    </w:rPr>
  </w:style>
  <w:style w:type="character" w:customStyle="1" w:styleId="24">
    <w:name w:val="无间隔 字符"/>
    <w:link w:val="4"/>
    <w:qFormat/>
    <w:locked/>
    <w:uiPriority w:val="0"/>
    <w:rPr>
      <w:rFonts w:eastAsia="仿宋_GB2312"/>
      <w:sz w:val="30"/>
      <w:szCs w:val="22"/>
      <w:lang w:bidi="ar-SA"/>
    </w:rPr>
  </w:style>
  <w:style w:type="character" w:customStyle="1" w:styleId="25">
    <w:name w:val="页脚 字符"/>
    <w:basedOn w:val="20"/>
    <w:link w:val="12"/>
    <w:qFormat/>
    <w:uiPriority w:val="0"/>
    <w:rPr>
      <w:kern w:val="2"/>
      <w:sz w:val="18"/>
      <w:szCs w:val="18"/>
    </w:rPr>
  </w:style>
  <w:style w:type="paragraph" w:styleId="26">
    <w:name w:val="List Paragraph"/>
    <w:basedOn w:val="1"/>
    <w:qFormat/>
    <w:uiPriority w:val="0"/>
    <w:pPr>
      <w:ind w:firstLine="420" w:firstLineChars="200"/>
    </w:pPr>
  </w:style>
  <w:style w:type="character" w:customStyle="1" w:styleId="27">
    <w:name w:val="标题 3 字符"/>
    <w:basedOn w:val="20"/>
    <w:link w:val="5"/>
    <w:qFormat/>
    <w:uiPriority w:val="0"/>
    <w:rPr>
      <w:rFonts w:eastAsia="仿宋"/>
      <w:bCs/>
      <w:kern w:val="2"/>
      <w:sz w:val="32"/>
      <w:szCs w:val="32"/>
    </w:rPr>
  </w:style>
  <w:style w:type="paragraph" w:customStyle="1" w:styleId="28">
    <w:name w:val="MsoNormal"/>
    <w:basedOn w:val="1"/>
    <w:qFormat/>
    <w:uiPriority w:val="0"/>
  </w:style>
  <w:style w:type="paragraph" w:customStyle="1" w:styleId="29">
    <w:name w:val="p"/>
    <w:basedOn w:val="1"/>
    <w:qFormat/>
    <w:uiPriority w:val="0"/>
  </w:style>
  <w:style w:type="character" w:customStyle="1" w:styleId="30">
    <w:name w:val="15"/>
    <w:basedOn w:val="20"/>
    <w:qFormat/>
    <w:uiPriority w:val="0"/>
  </w:style>
  <w:style w:type="table" w:customStyle="1" w:styleId="31">
    <w:name w:val="MsoNormalTable mce-item-table"/>
    <w:basedOn w:val="1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2364</Words>
  <Characters>3305</Characters>
  <Lines>1</Lines>
  <Paragraphs>1</Paragraphs>
  <TotalTime>7</TotalTime>
  <ScaleCrop>false</ScaleCrop>
  <LinksUpToDate>false</LinksUpToDate>
  <CharactersWithSpaces>3462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吴骁</cp:lastModifiedBy>
  <cp:lastPrinted>2021-04-16T00:45:00Z</cp:lastPrinted>
  <dcterms:modified xsi:type="dcterms:W3CDTF">2025-09-19T02:47:42Z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66C67484C41D4C05B3487E28FB439B3F_13</vt:lpwstr>
  </property>
  <property fmtid="{D5CDD505-2E9C-101B-9397-08002B2CF9AE}" pid="3" name="KSOProductBuildVer">
    <vt:lpwstr>2052-12.1.0.21915</vt:lpwstr>
  </property>
  <property fmtid="{D5CDD505-2E9C-101B-9397-08002B2CF9AE}" pid="4" name="KSOTemplateDocerSaveRecord">
    <vt:lpwstr>eyJoZGlkIjoiMjZkYjBjMTBjNWRiYzhmZTUzMzc2MmIyMzJlMDI1MzIiLCJ1c2VySWQiOiIxNjcxOTI1NjIzIn0=</vt:lpwstr>
  </property>
</Properties>
</file>